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746022B9" w:rsidR="00916640" w:rsidRPr="008D47A1" w:rsidRDefault="00361AFA"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Load Factor Analysis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5A1656C3" w:rsidR="008D47A1" w:rsidRPr="008D47A1" w:rsidRDefault="00EE4B71" w:rsidP="008D47A1">
      <w:pPr>
        <w:jc w:val="center"/>
        <w:rPr>
          <w:rFonts w:ascii="Times New Roman" w:hAnsi="Times New Roman" w:cs="Times New Roman"/>
        </w:rPr>
      </w:pPr>
      <w:r>
        <w:rPr>
          <w:rFonts w:ascii="Times New Roman" w:hAnsi="Times New Roman" w:cs="Times New Roman"/>
        </w:rPr>
        <w:t xml:space="preserve">May </w:t>
      </w:r>
      <w:r w:rsidR="00361AFA">
        <w:rPr>
          <w:rFonts w:ascii="Times New Roman" w:hAnsi="Times New Roman" w:cs="Times New Roman"/>
        </w:rPr>
        <w:t>23</w:t>
      </w:r>
      <w:r w:rsidR="00C93341">
        <w:rPr>
          <w:rFonts w:ascii="Times New Roman" w:hAnsi="Times New Roman" w:cs="Times New Roman"/>
        </w:rPr>
        <w:t>, 2026</w:t>
      </w:r>
    </w:p>
    <w:p w14:paraId="25E850A8" w14:textId="7D869DAB" w:rsidR="00B237B7" w:rsidRDefault="008D47A1"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 Introduction</w:t>
      </w:r>
    </w:p>
    <w:p w14:paraId="3E0276D9" w14:textId="6270644B" w:rsidR="00F07D41" w:rsidRDefault="00F07D41" w:rsidP="00F07D41">
      <w:pPr>
        <w:jc w:val="both"/>
        <w:rPr>
          <w:rFonts w:ascii="Times New Roman" w:hAnsi="Times New Roman" w:cs="Times New Roman"/>
        </w:rPr>
      </w:pPr>
      <w:r>
        <w:rPr>
          <w:rFonts w:ascii="Times New Roman" w:hAnsi="Times New Roman" w:cs="Times New Roman"/>
        </w:rPr>
        <w:t>Load factor analysis is a traditional bottoms-up estimate of the electrical load for different operating conditions and different ambient conditions.  The load list incorporates every load on the ship along with its connected load.  In load factor analysis, a load factor is assigned to each load</w:t>
      </w:r>
      <w:r w:rsidR="00E652F3">
        <w:rPr>
          <w:rFonts w:ascii="Times New Roman" w:hAnsi="Times New Roman" w:cs="Times New Roman"/>
        </w:rPr>
        <w:t xml:space="preserve"> for each combination of ambient condition and operating condition</w:t>
      </w:r>
      <w:r>
        <w:rPr>
          <w:rFonts w:ascii="Times New Roman" w:hAnsi="Times New Roman" w:cs="Times New Roman"/>
        </w:rPr>
        <w:t>; the operating load for a given load is the load factor multiplied by its connected load.</w:t>
      </w:r>
      <w:r w:rsidR="00EB10EC">
        <w:rPr>
          <w:rFonts w:ascii="Times New Roman" w:hAnsi="Times New Roman" w:cs="Times New Roman"/>
        </w:rPr>
        <w:t xml:space="preserve">  The total operating load is the sum of the individual operating loads of each load.</w:t>
      </w:r>
      <w:r w:rsidR="00E652F3">
        <w:rPr>
          <w:rFonts w:ascii="Times New Roman" w:hAnsi="Times New Roman" w:cs="Times New Roman"/>
        </w:rPr>
        <w:t xml:space="preserve">  The ship demand power and </w:t>
      </w:r>
      <w:proofErr w:type="gramStart"/>
      <w:r w:rsidR="00E652F3">
        <w:rPr>
          <w:rFonts w:ascii="Times New Roman" w:hAnsi="Times New Roman" w:cs="Times New Roman"/>
        </w:rPr>
        <w:t>24 hour</w:t>
      </w:r>
      <w:proofErr w:type="gramEnd"/>
      <w:r w:rsidR="00E652F3">
        <w:rPr>
          <w:rFonts w:ascii="Times New Roman" w:hAnsi="Times New Roman" w:cs="Times New Roman"/>
        </w:rPr>
        <w:t xml:space="preserve"> average loads are obtained by applying margin and service life allowance to the total operating load.</w:t>
      </w:r>
    </w:p>
    <w:p w14:paraId="057A9457" w14:textId="1FA695B5" w:rsidR="00701100" w:rsidRPr="00F07D41" w:rsidRDefault="00701100" w:rsidP="00F07D41">
      <w:pPr>
        <w:jc w:val="both"/>
        <w:rPr>
          <w:rFonts w:ascii="Times New Roman" w:hAnsi="Times New Roman" w:cs="Times New Roman"/>
        </w:rPr>
      </w:pPr>
      <w:r>
        <w:rPr>
          <w:rFonts w:ascii="Times New Roman" w:hAnsi="Times New Roman" w:cs="Times New Roman"/>
        </w:rPr>
        <w:t>In shipboard analysis, load factor analysis is typically applied to determining the required rating of the generator set</w:t>
      </w:r>
      <w:r w:rsidR="003819EF">
        <w:rPr>
          <w:rFonts w:ascii="Times New Roman" w:hAnsi="Times New Roman" w:cs="Times New Roman"/>
        </w:rPr>
        <w:t>s</w:t>
      </w:r>
      <w:r>
        <w:rPr>
          <w:rFonts w:ascii="Times New Roman" w:hAnsi="Times New Roman" w:cs="Times New Roman"/>
        </w:rPr>
        <w:t xml:space="preserve">.  In this application load factor analysis is applicable if there are many loads and no load </w:t>
      </w:r>
      <w:r w:rsidR="003819EF">
        <w:rPr>
          <w:rFonts w:ascii="Times New Roman" w:hAnsi="Times New Roman" w:cs="Times New Roman"/>
        </w:rPr>
        <w:t xml:space="preserve">that varies appreciably in time </w:t>
      </w:r>
      <w:r>
        <w:rPr>
          <w:rFonts w:ascii="Times New Roman" w:hAnsi="Times New Roman" w:cs="Times New Roman"/>
        </w:rPr>
        <w:t xml:space="preserve">is a significant fraction of the total load.  Load factor analysis is also appropriate for calculating </w:t>
      </w:r>
      <w:proofErr w:type="gramStart"/>
      <w:r>
        <w:rPr>
          <w:rFonts w:ascii="Times New Roman" w:hAnsi="Times New Roman" w:cs="Times New Roman"/>
        </w:rPr>
        <w:t>24 hour</w:t>
      </w:r>
      <w:proofErr w:type="gramEnd"/>
      <w:r>
        <w:rPr>
          <w:rFonts w:ascii="Times New Roman" w:hAnsi="Times New Roman" w:cs="Times New Roman"/>
        </w:rPr>
        <w:t xml:space="preserve"> average electric load.  Load factor analysis may result in under-estimating the ship demand power if there are a significant number of cycling loads, or if one or more </w:t>
      </w:r>
      <w:r w:rsidR="003819EF">
        <w:rPr>
          <w:rFonts w:ascii="Times New Roman" w:hAnsi="Times New Roman" w:cs="Times New Roman"/>
        </w:rPr>
        <w:t xml:space="preserve">varying </w:t>
      </w:r>
      <w:r>
        <w:rPr>
          <w:rFonts w:ascii="Times New Roman" w:hAnsi="Times New Roman" w:cs="Times New Roman"/>
        </w:rPr>
        <w:t>loads are a significant fraction of the total load.  In these cases, an alternative load estimating method such as zonal load factors should be employed.</w:t>
      </w:r>
    </w:p>
    <w:p w14:paraId="24C72F1E" w14:textId="5A2408C1" w:rsidR="00E652F3" w:rsidRDefault="00E652F3" w:rsidP="00E652F3">
      <w:pPr>
        <w:pStyle w:val="ListParagraph"/>
        <w:numPr>
          <w:ilvl w:val="0"/>
          <w:numId w:val="1"/>
        </w:numPr>
        <w:contextualSpacing w:val="0"/>
        <w:rPr>
          <w:rFonts w:ascii="Times New Roman" w:hAnsi="Times New Roman" w:cs="Times New Roman"/>
        </w:rPr>
      </w:pPr>
      <w:r>
        <w:rPr>
          <w:rFonts w:ascii="Times New Roman" w:hAnsi="Times New Roman" w:cs="Times New Roman"/>
        </w:rPr>
        <w:t>Cycling loads</w:t>
      </w:r>
    </w:p>
    <w:p w14:paraId="5860EB4A" w14:textId="1ADD2E5B" w:rsidR="00E652F3" w:rsidRDefault="00E652F3" w:rsidP="00E652F3">
      <w:pP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_Ref230343950 \h </w:instrText>
      </w:r>
      <w:r w:rsidR="0025295B">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25295B">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w:t>
      </w:r>
      <w:r w:rsidR="0025295B">
        <w:rPr>
          <w:rFonts w:ascii="Times New Roman" w:hAnsi="Times New Roman" w:cs="Times New Roman"/>
        </w:rPr>
        <w:t>d</w:t>
      </w:r>
      <w:r>
        <w:rPr>
          <w:rFonts w:ascii="Times New Roman" w:hAnsi="Times New Roman" w:cs="Times New Roman"/>
        </w:rPr>
        <w:t xml:space="preserve">epicts a waveform of a cycling load.  Cycling loads are typically on for a period of time, then off for possibly a different period of time.  The time that the load is off and the load is on can vary.  </w:t>
      </w:r>
      <w:r w:rsidR="000A30A0">
        <w:rPr>
          <w:rFonts w:ascii="Times New Roman" w:hAnsi="Times New Roman" w:cs="Times New Roman"/>
        </w:rPr>
        <w:t xml:space="preserve">In this case, the load has a peak value of 10 kW; is on between </w:t>
      </w:r>
      <w:proofErr w:type="gramStart"/>
      <w:r w:rsidR="000A30A0">
        <w:rPr>
          <w:rFonts w:ascii="Times New Roman" w:hAnsi="Times New Roman" w:cs="Times New Roman"/>
        </w:rPr>
        <w:t>3 and 5 time</w:t>
      </w:r>
      <w:proofErr w:type="gramEnd"/>
      <w:r w:rsidR="000A30A0">
        <w:rPr>
          <w:rFonts w:ascii="Times New Roman" w:hAnsi="Times New Roman" w:cs="Times New Roman"/>
        </w:rPr>
        <w:t xml:space="preserve"> units, and is off between </w:t>
      </w:r>
      <w:proofErr w:type="gramStart"/>
      <w:r w:rsidR="000A30A0">
        <w:rPr>
          <w:rFonts w:ascii="Times New Roman" w:hAnsi="Times New Roman" w:cs="Times New Roman"/>
        </w:rPr>
        <w:t>9 and 15 time</w:t>
      </w:r>
      <w:proofErr w:type="gramEnd"/>
      <w:r w:rsidR="000A30A0">
        <w:rPr>
          <w:rFonts w:ascii="Times New Roman" w:hAnsi="Times New Roman" w:cs="Times New Roman"/>
        </w:rPr>
        <w:t xml:space="preserve"> units.  The on and off times are randomly selected within their limits.</w:t>
      </w:r>
    </w:p>
    <w:p w14:paraId="60189894" w14:textId="54CA0BE8" w:rsidR="00E652F3" w:rsidRDefault="00E652F3" w:rsidP="00E652F3">
      <w:pPr>
        <w:jc w:val="both"/>
        <w:rPr>
          <w:rFonts w:ascii="Times New Roman" w:hAnsi="Times New Roman" w:cs="Times New Roman"/>
        </w:rPr>
      </w:pPr>
      <w:r>
        <w:rPr>
          <w:rFonts w:ascii="Times New Roman" w:hAnsi="Times New Roman" w:cs="Times New Roman"/>
        </w:rPr>
        <w:t xml:space="preserve">Assuming the peak value is the connected load, the appropriate load factor for </w:t>
      </w:r>
      <w:proofErr w:type="gramStart"/>
      <w:r>
        <w:rPr>
          <w:rFonts w:ascii="Times New Roman" w:hAnsi="Times New Roman" w:cs="Times New Roman"/>
        </w:rPr>
        <w:t>24 hour</w:t>
      </w:r>
      <w:proofErr w:type="gramEnd"/>
      <w:r>
        <w:rPr>
          <w:rFonts w:ascii="Times New Roman" w:hAnsi="Times New Roman" w:cs="Times New Roman"/>
        </w:rPr>
        <w:t xml:space="preserve"> average computations would be</w:t>
      </w:r>
      <w:r w:rsidR="0025295B">
        <w:rPr>
          <w:rFonts w:ascii="Times New Roman" w:hAnsi="Times New Roman" w:cs="Times New Roman"/>
        </w:rPr>
        <w:t xml:space="preserve"> </w:t>
      </w:r>
      <w:r>
        <w:rPr>
          <w:rFonts w:ascii="Times New Roman" w:hAnsi="Times New Roman" w:cs="Times New Roman"/>
        </w:rPr>
        <w:t xml:space="preserve">calculated </w:t>
      </w:r>
      <w:r w:rsidR="0025295B">
        <w:rPr>
          <w:rFonts w:ascii="Times New Roman" w:hAnsi="Times New Roman" w:cs="Times New Roman"/>
        </w:rPr>
        <w:t>by</w:t>
      </w:r>
      <w:r>
        <w:rPr>
          <w:rFonts w:ascii="Times New Roman" w:hAnsi="Times New Roman" w:cs="Times New Roman"/>
        </w:rPr>
        <w:t xml:space="preserve"> divid</w:t>
      </w:r>
      <w:r w:rsidR="0025295B">
        <w:rPr>
          <w:rFonts w:ascii="Times New Roman" w:hAnsi="Times New Roman" w:cs="Times New Roman"/>
        </w:rPr>
        <w:t>ing</w:t>
      </w:r>
      <w:r>
        <w:rPr>
          <w:rFonts w:ascii="Times New Roman" w:hAnsi="Times New Roman" w:cs="Times New Roman"/>
        </w:rPr>
        <w:t xml:space="preserve"> the waveforms average value by its connected load.  In </w:t>
      </w:r>
      <w:r>
        <w:rPr>
          <w:rFonts w:ascii="Times New Roman" w:hAnsi="Times New Roman" w:cs="Times New Roman"/>
        </w:rPr>
        <w:fldChar w:fldCharType="begin"/>
      </w:r>
      <w:r>
        <w:rPr>
          <w:rFonts w:ascii="Times New Roman" w:hAnsi="Times New Roman" w:cs="Times New Roman"/>
        </w:rPr>
        <w:instrText xml:space="preserve"> REF _Ref230343950 \h </w:instrText>
      </w:r>
      <w:r w:rsidR="0025295B">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25295B">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the </w:t>
      </w:r>
      <w:r w:rsidR="00B47A11">
        <w:rPr>
          <w:rFonts w:ascii="Times New Roman" w:hAnsi="Times New Roman" w:cs="Times New Roman"/>
        </w:rPr>
        <w:t>average value</w:t>
      </w:r>
      <w:r>
        <w:rPr>
          <w:rFonts w:ascii="Times New Roman" w:hAnsi="Times New Roman" w:cs="Times New Roman"/>
        </w:rPr>
        <w:t xml:space="preserve"> of the waveform is 2.6 while the connected load (assuming the peak load and connected load are the same) is 10.  The load factor is therefore </w:t>
      </w:r>
      <w:r w:rsidR="0025295B">
        <w:rPr>
          <w:rFonts w:ascii="Times New Roman" w:hAnsi="Times New Roman" w:cs="Times New Roman"/>
        </w:rPr>
        <w:t>0.</w:t>
      </w:r>
      <w:r>
        <w:rPr>
          <w:rFonts w:ascii="Times New Roman" w:hAnsi="Times New Roman" w:cs="Times New Roman"/>
        </w:rPr>
        <w:t>26.</w:t>
      </w:r>
    </w:p>
    <w:p w14:paraId="701AA8AE" w14:textId="67494689" w:rsidR="00701100" w:rsidRDefault="00701100" w:rsidP="00E652F3">
      <w:pPr>
        <w:jc w:val="both"/>
        <w:rPr>
          <w:rFonts w:ascii="Times New Roman" w:hAnsi="Times New Roman" w:cs="Times New Roman"/>
        </w:rPr>
      </w:pPr>
      <w:r>
        <w:rPr>
          <w:rFonts w:ascii="Times New Roman" w:hAnsi="Times New Roman" w:cs="Times New Roman"/>
        </w:rPr>
        <w:t xml:space="preserve">Determining an appropriate load factor for a cycling load when determining the required rating of power system equipment is more challenging.  In </w:t>
      </w:r>
      <w:r>
        <w:rPr>
          <w:rFonts w:ascii="Times New Roman" w:hAnsi="Times New Roman" w:cs="Times New Roman"/>
        </w:rPr>
        <w:fldChar w:fldCharType="begin"/>
      </w:r>
      <w:r>
        <w:rPr>
          <w:rFonts w:ascii="Times New Roman" w:hAnsi="Times New Roman" w:cs="Times New Roman"/>
        </w:rPr>
        <w:instrText xml:space="preserve"> REF _Ref230343950 \h </w:instrText>
      </w:r>
      <w:r w:rsidR="000A30A0">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0A30A0">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using the load factor based on the long</w:t>
      </w:r>
      <w:r w:rsidR="00FC5DB5">
        <w:rPr>
          <w:rFonts w:ascii="Times New Roman" w:hAnsi="Times New Roman" w:cs="Times New Roman"/>
        </w:rPr>
        <w:t>-</w:t>
      </w:r>
      <w:r>
        <w:rPr>
          <w:rFonts w:ascii="Times New Roman" w:hAnsi="Times New Roman" w:cs="Times New Roman"/>
        </w:rPr>
        <w:t xml:space="preserve">term average may not be appropriate; supplying the peak load may result in </w:t>
      </w:r>
      <w:r w:rsidR="000A30A0">
        <w:rPr>
          <w:rFonts w:ascii="Times New Roman" w:hAnsi="Times New Roman" w:cs="Times New Roman"/>
        </w:rPr>
        <w:t xml:space="preserve">overloading the power system equipment.  On the other hand, </w:t>
      </w:r>
      <w:r w:rsidR="00CC2DF9">
        <w:rPr>
          <w:rFonts w:ascii="Times New Roman" w:hAnsi="Times New Roman" w:cs="Times New Roman"/>
        </w:rPr>
        <w:t xml:space="preserve">if the cycling load is one of many loads, </w:t>
      </w:r>
      <w:r w:rsidR="000A30A0">
        <w:rPr>
          <w:rFonts w:ascii="Times New Roman" w:hAnsi="Times New Roman" w:cs="Times New Roman"/>
        </w:rPr>
        <w:t>using a load factor of 1.0 to ensure being able to power the peak load is likely much too conservative.</w:t>
      </w:r>
      <w:r w:rsidR="00CC2DF9">
        <w:rPr>
          <w:rFonts w:ascii="Times New Roman" w:hAnsi="Times New Roman" w:cs="Times New Roman"/>
        </w:rPr>
        <w:t xml:space="preserve">  If the cycling load is one of only a few loads supplied by the power system equipment, then another modeling method, such as zonal load factors, should be employed.</w:t>
      </w:r>
    </w:p>
    <w:p w14:paraId="124F0BAD" w14:textId="0B40C766" w:rsidR="000A30A0" w:rsidRDefault="00FC5DB5" w:rsidP="00E652F3">
      <w:pPr>
        <w:jc w:val="both"/>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REF _Ref230348732 \h </w:instrText>
      </w:r>
      <w:r w:rsidR="00CC2DF9">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CC2DF9">
        <w:rPr>
          <w:rFonts w:ascii="Times New Roman" w:hAnsi="Times New Roman" w:cs="Times New Roman"/>
        </w:rPr>
        <w:t>Figure 2</w:t>
      </w:r>
      <w:r>
        <w:rPr>
          <w:rFonts w:ascii="Times New Roman" w:hAnsi="Times New Roman" w:cs="Times New Roman"/>
        </w:rPr>
        <w:fldChar w:fldCharType="end"/>
      </w:r>
      <w:r>
        <w:rPr>
          <w:rFonts w:ascii="Times New Roman" w:hAnsi="Times New Roman" w:cs="Times New Roman"/>
        </w:rPr>
        <w:t xml:space="preserve">: depicts the combined power waveform of 50 cycling loads that have the same stochastic properties as the load in </w:t>
      </w:r>
      <w:r>
        <w:rPr>
          <w:rFonts w:ascii="Times New Roman" w:hAnsi="Times New Roman" w:cs="Times New Roman"/>
        </w:rPr>
        <w:fldChar w:fldCharType="begin"/>
      </w:r>
      <w:r>
        <w:rPr>
          <w:rFonts w:ascii="Times New Roman" w:hAnsi="Times New Roman" w:cs="Times New Roman"/>
        </w:rPr>
        <w:instrText xml:space="preserve"> REF _Ref230343950 \h </w:instrText>
      </w:r>
      <w:r w:rsidR="00CC2DF9">
        <w:rPr>
          <w:rFonts w:ascii="Times New Roman" w:hAnsi="Times New Roman" w:cs="Times New Roman"/>
        </w:rPr>
        <w:instrText xml:space="preserve"> \* MERGEFORMAT </w:instrText>
      </w:r>
      <w:r>
        <w:rPr>
          <w:rFonts w:ascii="Times New Roman" w:hAnsi="Times New Roman" w:cs="Times New Roman"/>
        </w:rPr>
      </w:r>
      <w:r>
        <w:rPr>
          <w:rFonts w:ascii="Times New Roman" w:hAnsi="Times New Roman" w:cs="Times New Roman"/>
        </w:rPr>
        <w:fldChar w:fldCharType="separate"/>
      </w:r>
      <w:r w:rsidRPr="00CC2DF9">
        <w:rPr>
          <w:rFonts w:ascii="Times New Roman" w:hAnsi="Times New Roman" w:cs="Times New Roman"/>
        </w:rPr>
        <w:t>Figure 1</w:t>
      </w:r>
      <w:r>
        <w:rPr>
          <w:rFonts w:ascii="Times New Roman" w:hAnsi="Times New Roman" w:cs="Times New Roman"/>
        </w:rPr>
        <w:fldChar w:fldCharType="end"/>
      </w:r>
      <w:r>
        <w:rPr>
          <w:rFonts w:ascii="Times New Roman" w:hAnsi="Times New Roman" w:cs="Times New Roman"/>
        </w:rPr>
        <w:t xml:space="preserve">.  With a connected load of 500 kW, the total load seldom exceeds 200 kW; indicating a load factor of 0.40 would likely be adequate for equipment sizing.  Since most power </w:t>
      </w:r>
      <w:r w:rsidR="00CC2DF9">
        <w:rPr>
          <w:rFonts w:ascii="Times New Roman" w:hAnsi="Times New Roman" w:cs="Times New Roman"/>
        </w:rPr>
        <w:t xml:space="preserve">system </w:t>
      </w:r>
      <w:r>
        <w:rPr>
          <w:rFonts w:ascii="Times New Roman" w:hAnsi="Times New Roman" w:cs="Times New Roman"/>
        </w:rPr>
        <w:t>equipment is not typically loaded beyond 95% of the equipment rating, the few times the load momentarily exceeds 200 kW should be accommodated by</w:t>
      </w:r>
      <w:r w:rsidR="00F8118E">
        <w:rPr>
          <w:rFonts w:ascii="Times New Roman" w:hAnsi="Times New Roman" w:cs="Times New Roman"/>
        </w:rPr>
        <w:t xml:space="preserve"> the power system</w:t>
      </w:r>
      <w:r>
        <w:rPr>
          <w:rFonts w:ascii="Times New Roman" w:hAnsi="Times New Roman" w:cs="Times New Roman"/>
        </w:rPr>
        <w:t xml:space="preserve"> equipment.  If the total load included a significant amount of constant power loads, of if the power equipment has a significant overload capability, the load factor could be lowered to a value closer to the average value; the increased equipment rating also increases the magnitude of power fluctuations that can </w:t>
      </w:r>
      <w:r w:rsidR="00CC2DF9">
        <w:rPr>
          <w:rFonts w:ascii="Times New Roman" w:hAnsi="Times New Roman" w:cs="Times New Roman"/>
        </w:rPr>
        <w:t xml:space="preserve">be </w:t>
      </w:r>
      <w:r>
        <w:rPr>
          <w:rFonts w:ascii="Times New Roman" w:hAnsi="Times New Roman" w:cs="Times New Roman"/>
        </w:rPr>
        <w:t xml:space="preserve">tolerated. </w:t>
      </w:r>
    </w:p>
    <w:p w14:paraId="070D2173" w14:textId="3056E160" w:rsidR="00E652F3" w:rsidRDefault="00E652F3" w:rsidP="00E652F3">
      <w:pPr>
        <w:jc w:val="center"/>
        <w:rPr>
          <w:rFonts w:ascii="Times New Roman" w:hAnsi="Times New Roman" w:cs="Times New Roman"/>
        </w:rPr>
      </w:pPr>
      <w:r>
        <w:rPr>
          <w:rFonts w:ascii="Times New Roman" w:hAnsi="Times New Roman" w:cs="Times New Roman"/>
          <w:noProof/>
        </w:rPr>
        <w:drawing>
          <wp:inline distT="0" distB="0" distL="0" distR="0" wp14:anchorId="10911617" wp14:editId="121D79EA">
            <wp:extent cx="2743200" cy="1643409"/>
            <wp:effectExtent l="0" t="0" r="0" b="0"/>
            <wp:docPr id="1862692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643409"/>
                    </a:xfrm>
                    <a:prstGeom prst="rect">
                      <a:avLst/>
                    </a:prstGeom>
                    <a:noFill/>
                    <a:ln>
                      <a:noFill/>
                    </a:ln>
                  </pic:spPr>
                </pic:pic>
              </a:graphicData>
            </a:graphic>
          </wp:inline>
        </w:drawing>
      </w:r>
    </w:p>
    <w:p w14:paraId="561B3F0B" w14:textId="2FEC62A8" w:rsidR="00E652F3" w:rsidRDefault="00E652F3" w:rsidP="00E652F3">
      <w:pPr>
        <w:pStyle w:val="Caption"/>
      </w:pPr>
      <w:bookmarkStart w:id="0" w:name="_Ref230343950"/>
      <w:r>
        <w:t xml:space="preserve">Figure </w:t>
      </w:r>
      <w:fldSimple w:instr=" SEQ Figure \* ARABIC ">
        <w:r w:rsidR="00022BF9">
          <w:rPr>
            <w:noProof/>
          </w:rPr>
          <w:t>1</w:t>
        </w:r>
      </w:fldSimple>
      <w:bookmarkEnd w:id="0"/>
      <w:r>
        <w:t>: Cycling Load</w:t>
      </w:r>
    </w:p>
    <w:p w14:paraId="493FFBCB" w14:textId="24638FC2" w:rsidR="00E652F3" w:rsidRDefault="000A30A0" w:rsidP="000A30A0">
      <w:pPr>
        <w:jc w:val="center"/>
      </w:pPr>
      <w:r>
        <w:rPr>
          <w:noProof/>
        </w:rPr>
        <w:drawing>
          <wp:inline distT="0" distB="0" distL="0" distR="0" wp14:anchorId="41E9AAE0" wp14:editId="45C25110">
            <wp:extent cx="2743200" cy="1649111"/>
            <wp:effectExtent l="0" t="0" r="0" b="8255"/>
            <wp:docPr id="506515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649111"/>
                    </a:xfrm>
                    <a:prstGeom prst="rect">
                      <a:avLst/>
                    </a:prstGeom>
                    <a:noFill/>
                    <a:ln>
                      <a:noFill/>
                    </a:ln>
                  </pic:spPr>
                </pic:pic>
              </a:graphicData>
            </a:graphic>
          </wp:inline>
        </w:drawing>
      </w:r>
    </w:p>
    <w:p w14:paraId="5F11C133" w14:textId="5AACFACB" w:rsidR="000A30A0" w:rsidRDefault="000A30A0" w:rsidP="000A30A0">
      <w:pPr>
        <w:pStyle w:val="Caption"/>
      </w:pPr>
      <w:bookmarkStart w:id="1" w:name="_Ref230348732"/>
      <w:r>
        <w:t xml:space="preserve">Figure </w:t>
      </w:r>
      <w:fldSimple w:instr=" SEQ Figure \* ARABIC ">
        <w:r w:rsidR="00022BF9">
          <w:rPr>
            <w:noProof/>
          </w:rPr>
          <w:t>2</w:t>
        </w:r>
      </w:fldSimple>
      <w:bookmarkEnd w:id="1"/>
      <w:r>
        <w:t>: Power waveform for 50 cycling loads</w:t>
      </w:r>
    </w:p>
    <w:p w14:paraId="4370F08C" w14:textId="32908FF1" w:rsidR="0025295B" w:rsidRPr="00CC2DF9" w:rsidRDefault="00E33F7D" w:rsidP="00CC2DF9">
      <w:pPr>
        <w:jc w:val="both"/>
        <w:rPr>
          <w:rFonts w:ascii="Times New Roman" w:hAnsi="Times New Roman" w:cs="Times New Roman"/>
        </w:rPr>
      </w:pPr>
      <w:r>
        <w:rPr>
          <w:rFonts w:ascii="Times New Roman" w:hAnsi="Times New Roman" w:cs="Times New Roman"/>
        </w:rPr>
        <w:t xml:space="preserve">The appropriate load factor for a cycling load depends on collective behavior of all the online loads as well as the power distribution system equipment.  </w:t>
      </w:r>
      <w:r w:rsidR="00CC2DF9" w:rsidRPr="00CC2DF9">
        <w:rPr>
          <w:rFonts w:ascii="Times New Roman" w:hAnsi="Times New Roman" w:cs="Times New Roman"/>
        </w:rPr>
        <w:t>Choosing a load factor for a cycling load should consider the impact of the load on the variability of the total load as well as the expected loading and overload capability of the power system equipment.</w:t>
      </w:r>
    </w:p>
    <w:p w14:paraId="36C078E8" w14:textId="65D6D8BE" w:rsidR="00BD31DD" w:rsidRDefault="00361AFA"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Determining Load Factors</w:t>
      </w:r>
    </w:p>
    <w:p w14:paraId="6B641880" w14:textId="5A06FD23" w:rsidR="00BD31DD" w:rsidRDefault="00BD31DD" w:rsidP="008A1DF5">
      <w:pPr>
        <w:pStyle w:val="ListParagraph"/>
        <w:numPr>
          <w:ilvl w:val="1"/>
          <w:numId w:val="1"/>
        </w:numPr>
        <w:contextualSpacing w:val="0"/>
        <w:rPr>
          <w:rFonts w:ascii="Times New Roman" w:hAnsi="Times New Roman" w:cs="Times New Roman"/>
        </w:rPr>
      </w:pPr>
      <w:bookmarkStart w:id="2" w:name="_Ref230438358"/>
      <w:r>
        <w:rPr>
          <w:rFonts w:ascii="Times New Roman" w:hAnsi="Times New Roman" w:cs="Times New Roman"/>
        </w:rPr>
        <w:t>Load analysis</w:t>
      </w:r>
      <w:bookmarkEnd w:id="2"/>
    </w:p>
    <w:p w14:paraId="01AD83A9" w14:textId="189F12D2" w:rsidR="00022BF9" w:rsidRDefault="00022BF9" w:rsidP="00022BF9">
      <w:pPr>
        <w:ind w:left="360"/>
        <w:rPr>
          <w:rFonts w:ascii="Times New Roman" w:hAnsi="Times New Roman" w:cs="Times New Roman"/>
        </w:rPr>
      </w:pPr>
      <w:r>
        <w:rPr>
          <w:rFonts w:ascii="Times New Roman" w:hAnsi="Times New Roman" w:cs="Times New Roman"/>
        </w:rPr>
        <w:t>During ship design, load analysis is the preferred process for determining a load factor.  The following guidance is provided in DPC 310-1:</w:t>
      </w:r>
    </w:p>
    <w:p w14:paraId="54AD9121" w14:textId="77777777" w:rsidR="00022BF9" w:rsidRDefault="00022BF9" w:rsidP="00022BF9">
      <w:pPr>
        <w:ind w:left="720" w:right="360"/>
        <w:rPr>
          <w:rFonts w:ascii="Times New Roman" w:hAnsi="Times New Roman" w:cs="Times New Roman"/>
        </w:rPr>
      </w:pPr>
      <w:r>
        <w:rPr>
          <w:rFonts w:ascii="Times New Roman" w:hAnsi="Times New Roman" w:cs="Times New Roman"/>
        </w:rPr>
        <w:lastRenderedPageBreak/>
        <w:t>“</w:t>
      </w:r>
      <w:r w:rsidRPr="00022BF9">
        <w:rPr>
          <w:rFonts w:ascii="Times New Roman" w:hAnsi="Times New Roman" w:cs="Times New Roman"/>
        </w:rPr>
        <w:t xml:space="preserve">a. In assigning load factors, the following shall be considered: Zero load factors are assigned to seldom used equipment. </w:t>
      </w:r>
    </w:p>
    <w:p w14:paraId="66D3AF42" w14:textId="77777777" w:rsidR="00022BF9" w:rsidRDefault="00022BF9" w:rsidP="00022BF9">
      <w:pPr>
        <w:ind w:left="720" w:right="360"/>
        <w:rPr>
          <w:rFonts w:ascii="Times New Roman" w:hAnsi="Times New Roman" w:cs="Times New Roman"/>
        </w:rPr>
      </w:pPr>
      <w:r w:rsidRPr="00022BF9">
        <w:rPr>
          <w:rFonts w:ascii="Times New Roman" w:hAnsi="Times New Roman" w:cs="Times New Roman"/>
        </w:rPr>
        <w:t xml:space="preserve">b. For ship demand power calculations, a load factor of 0.9 is typically used in cases where a motor operates at full load for an extended period of time during a specific ship condition. For 24-hour average load calculations, the load factor should reflect the long-term average load. </w:t>
      </w:r>
    </w:p>
    <w:p w14:paraId="6CFA5903" w14:textId="77777777" w:rsidR="00022BF9" w:rsidRDefault="00022BF9" w:rsidP="00022BF9">
      <w:pPr>
        <w:ind w:left="720" w:right="360"/>
        <w:rPr>
          <w:rFonts w:ascii="Times New Roman" w:hAnsi="Times New Roman" w:cs="Times New Roman"/>
        </w:rPr>
      </w:pPr>
      <w:r w:rsidRPr="00022BF9">
        <w:rPr>
          <w:rFonts w:ascii="Times New Roman" w:hAnsi="Times New Roman" w:cs="Times New Roman"/>
        </w:rPr>
        <w:t xml:space="preserve">c. All standby units shall be listed and assigned zero load factors except when the standby unit is actually kept running or is based on percent of power used while idling. </w:t>
      </w:r>
    </w:p>
    <w:p w14:paraId="357203B0" w14:textId="77777777" w:rsidR="00022BF9" w:rsidRDefault="00022BF9" w:rsidP="00022BF9">
      <w:pPr>
        <w:ind w:left="720" w:right="360"/>
        <w:rPr>
          <w:rFonts w:ascii="Times New Roman" w:hAnsi="Times New Roman" w:cs="Times New Roman"/>
        </w:rPr>
      </w:pPr>
      <w:r w:rsidRPr="00022BF9">
        <w:rPr>
          <w:rFonts w:ascii="Times New Roman" w:hAnsi="Times New Roman" w:cs="Times New Roman"/>
        </w:rPr>
        <w:t xml:space="preserve">d. Some ships are required to provide power to other ships, vehicles, and non-organic systems. Load analysis shall take into consideration the supply of power to these users of shipboard power. </w:t>
      </w:r>
    </w:p>
    <w:p w14:paraId="35A121F9" w14:textId="5DF0E9F8" w:rsidR="00022BF9" w:rsidRDefault="00022BF9" w:rsidP="00022BF9">
      <w:pPr>
        <w:ind w:left="720" w:right="360"/>
        <w:rPr>
          <w:rFonts w:ascii="Times New Roman" w:hAnsi="Times New Roman" w:cs="Times New Roman"/>
        </w:rPr>
      </w:pPr>
      <w:r w:rsidRPr="00022BF9">
        <w:rPr>
          <w:rFonts w:ascii="Times New Roman" w:hAnsi="Times New Roman" w:cs="Times New Roman"/>
        </w:rPr>
        <w:t xml:space="preserve">e. If a load factor for 24-hour average calculations is known, the load factor for ship demand power can be approximated by applying the curve shown in figure 3 and </w:t>
      </w:r>
      <w:r>
        <w:rPr>
          <w:rFonts w:ascii="Times New Roman" w:hAnsi="Times New Roman" w:cs="Times New Roman"/>
        </w:rPr>
        <w:t>(the following equatio</w:t>
      </w:r>
      <w:r w:rsidR="00740223">
        <w:rPr>
          <w:rFonts w:ascii="Times New Roman" w:hAnsi="Times New Roman" w:cs="Times New Roman"/>
        </w:rPr>
        <w:t xml:space="preserve">n; use the zonal load factor </w:t>
      </w:r>
      <w:r w:rsidR="00FC0061">
        <w:rPr>
          <w:rFonts w:ascii="Times New Roman" w:hAnsi="Times New Roman" w:cs="Times New Roman"/>
        </w:rPr>
        <w:t xml:space="preserve">for load </w:t>
      </w:r>
      <w:r w:rsidR="00FC0061">
        <w:rPr>
          <w:rFonts w:ascii="Times New Roman" w:hAnsi="Times New Roman" w:cs="Times New Roman"/>
          <w:i/>
          <w:iCs/>
        </w:rPr>
        <w:t xml:space="preserve">j </w:t>
      </w:r>
      <w:r w:rsidR="00740223">
        <w:rPr>
          <w:rFonts w:ascii="Times New Roman" w:hAnsi="Times New Roman" w:cs="Times New Roman"/>
        </w:rPr>
        <w:t>as the load factor for ship demand power</w:t>
      </w:r>
      <w:r w:rsidR="00FC0061">
        <w:rPr>
          <w:rFonts w:ascii="Times New Roman" w:hAnsi="Times New Roman" w:cs="Times New Roman"/>
        </w:rPr>
        <w:t>; the equations are applicable for cycling and intermittent loads</w:t>
      </w:r>
      <w:r>
        <w:rPr>
          <w:rFonts w:ascii="Times New Roman" w:hAnsi="Times New Roman" w:cs="Times New Roman"/>
        </w:rPr>
        <w:t>):</w:t>
      </w:r>
    </w:p>
    <w:p w14:paraId="43468354" w14:textId="41813FD5" w:rsidR="009770A7" w:rsidRDefault="00AB1022" w:rsidP="00022BF9">
      <w:pPr>
        <w:ind w:left="720" w:right="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e>
          </m:d>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e>
          </m:d>
          <m:r>
            <w:rPr>
              <w:rFonts w:ascii="Cambria Math" w:hAnsi="Cambria Math" w:cs="Times New Roman"/>
            </w:rPr>
            <m:t xml:space="preserve"> </m:t>
          </m:r>
          <m:r>
            <m:rPr>
              <m:nor/>
            </m:rPr>
            <w:rPr>
              <w:rFonts w:ascii="Cambria Math" w:hAnsi="Cambria Math" w:cs="Times New Roman"/>
            </w:rPr>
            <m:t>for</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r>
            <w:rPr>
              <w:rFonts w:ascii="Cambria Math" w:hAnsi="Cambria Math" w:cs="Times New Roman"/>
            </w:rPr>
            <m:t>&lt;1.0</m:t>
          </m:r>
        </m:oMath>
      </m:oMathPara>
    </w:p>
    <w:p w14:paraId="2BF5C350" w14:textId="28A20D69" w:rsidR="009770A7" w:rsidRDefault="00AB1022" w:rsidP="009770A7">
      <w:pPr>
        <w:ind w:left="720" w:right="36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den>
          </m:f>
          <m:r>
            <w:rPr>
              <w:rFonts w:ascii="Cambria Math" w:hAnsi="Cambria Math" w:cs="Times New Roman"/>
            </w:rPr>
            <m:t xml:space="preserve"> </m:t>
          </m:r>
          <m:r>
            <m:rPr>
              <m:nor/>
            </m:rPr>
            <w:rPr>
              <w:rFonts w:ascii="Cambria Math" w:hAnsi="Cambria Math" w:cs="Times New Roman"/>
            </w:rPr>
            <m:t>for</m:t>
          </m:r>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num>
            <m:den>
              <m:nary>
                <m:naryPr>
                  <m:chr m:val="∑"/>
                  <m:limLoc m:val="subSup"/>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i</m:t>
                          </m:r>
                        </m:sub>
                      </m:sSub>
                    </m:sub>
                  </m:sSub>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sub>
                  </m:sSub>
                </m:e>
              </m:nary>
            </m:den>
          </m:f>
          <m:r>
            <w:rPr>
              <w:rFonts w:ascii="Cambria Math" w:hAnsi="Cambria Math" w:cs="Times New Roman"/>
            </w:rPr>
            <m:t>≥1.0</m:t>
          </m:r>
        </m:oMath>
      </m:oMathPara>
    </w:p>
    <w:p w14:paraId="16EFEE61" w14:textId="468DD183" w:rsidR="009770A7" w:rsidRDefault="00BA7C4F" w:rsidP="00022BF9">
      <w:pPr>
        <w:ind w:left="720" w:right="360"/>
        <w:rPr>
          <w:rFonts w:ascii="Times New Roman" w:hAnsi="Times New Roman" w:cs="Times New Roman"/>
        </w:rPr>
      </w:pPr>
      <w:proofErr w:type="gramStart"/>
      <w:r>
        <w:rPr>
          <w:rFonts w:ascii="Times New Roman" w:hAnsi="Times New Roman" w:cs="Times New Roman"/>
        </w:rPr>
        <w:t>Where</w:t>
      </w:r>
      <w:proofErr w:type="gramEnd"/>
    </w:p>
    <w:p w14:paraId="4948379E" w14:textId="63045CD5" w:rsidR="00BA7C4F" w:rsidRDefault="00AB1022" w:rsidP="00EF194B">
      <w:pPr>
        <w:ind w:left="1080" w:right="360"/>
        <w:rPr>
          <w:rFonts w:ascii="Times New Roman" w:eastAsiaTheme="minorEastAsia" w:hAnsi="Times New Roman" w:cs="Times New Roman"/>
          <w:i/>
          <w:iCs/>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sub>
        </m:sSub>
      </m:oMath>
      <w:r w:rsidR="00BA7C4F">
        <w:rPr>
          <w:rFonts w:ascii="Times New Roman" w:eastAsiaTheme="minorEastAsia" w:hAnsi="Times New Roman" w:cs="Times New Roman"/>
        </w:rPr>
        <w:t xml:space="preserve"> = Zonal load factor for load </w:t>
      </w:r>
      <w:r w:rsidR="00BA7C4F">
        <w:rPr>
          <w:rFonts w:ascii="Times New Roman" w:eastAsiaTheme="minorEastAsia" w:hAnsi="Times New Roman" w:cs="Times New Roman"/>
          <w:i/>
          <w:iCs/>
        </w:rPr>
        <w:t>j</w:t>
      </w:r>
    </w:p>
    <w:p w14:paraId="374919ED" w14:textId="04723A53" w:rsidR="009770A7" w:rsidRDefault="00AB1022" w:rsidP="00EF194B">
      <w:pPr>
        <w:ind w:left="1080" w:right="36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L</m:t>
            </m:r>
          </m:e>
          <m: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sub>
        </m:sSub>
      </m:oMath>
      <w:r w:rsidR="00BA7C4F">
        <w:rPr>
          <w:rFonts w:ascii="Times New Roman" w:eastAsiaTheme="minorEastAsia" w:hAnsi="Times New Roman" w:cs="Times New Roman"/>
        </w:rPr>
        <w:t xml:space="preserve"> = Load factor for load </w:t>
      </w:r>
      <w:r w:rsidR="00BA7C4F">
        <w:rPr>
          <w:rFonts w:ascii="Times New Roman" w:eastAsiaTheme="minorEastAsia" w:hAnsi="Times New Roman" w:cs="Times New Roman"/>
          <w:i/>
          <w:iCs/>
        </w:rPr>
        <w:t>j</w:t>
      </w:r>
      <w:r w:rsidR="00BA7C4F">
        <w:rPr>
          <w:rFonts w:ascii="Times New Roman" w:eastAsiaTheme="minorEastAsia" w:hAnsi="Times New Roman" w:cs="Times New Roman"/>
        </w:rPr>
        <w:t xml:space="preserve"> for 24-hour average calculations</w:t>
      </w:r>
    </w:p>
    <w:p w14:paraId="47C36A1B" w14:textId="5BFD0AF8" w:rsidR="00BA7C4F" w:rsidRDefault="00AB1022" w:rsidP="00EF194B">
      <w:pPr>
        <w:ind w:left="1080" w:right="360"/>
        <w:rPr>
          <w:rFonts w:ascii="Times New Roman" w:eastAsiaTheme="minorEastAsia" w:hAnsi="Times New Roman" w:cs="Times New Roman"/>
          <w:i/>
          <w:iCs/>
        </w:rPr>
      </w:pPr>
      <m:oMath>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j</m:t>
                </m:r>
              </m:sub>
            </m:sSub>
          </m:sub>
        </m:sSub>
      </m:oMath>
      <w:r w:rsidR="00BA7C4F">
        <w:rPr>
          <w:rFonts w:ascii="Times New Roman" w:eastAsiaTheme="minorEastAsia" w:hAnsi="Times New Roman" w:cs="Times New Roman"/>
        </w:rPr>
        <w:t xml:space="preserve"> = Connected Load (kW) for load </w:t>
      </w:r>
      <w:r w:rsidR="00BA7C4F">
        <w:rPr>
          <w:rFonts w:ascii="Times New Roman" w:eastAsiaTheme="minorEastAsia" w:hAnsi="Times New Roman" w:cs="Times New Roman"/>
          <w:i/>
          <w:iCs/>
        </w:rPr>
        <w:t>j</w:t>
      </w:r>
    </w:p>
    <w:p w14:paraId="65BD806E" w14:textId="74C19D19" w:rsidR="00BA7C4F" w:rsidRPr="00BA7C4F" w:rsidRDefault="00AB1022" w:rsidP="00EF194B">
      <w:pPr>
        <w:ind w:left="1080" w:right="36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j</m:t>
                </m:r>
              </m:sub>
            </m:sSub>
          </m:sub>
        </m:sSub>
      </m:oMath>
      <w:r w:rsidR="00BA7C4F">
        <w:rPr>
          <w:rFonts w:ascii="Times New Roman" w:eastAsiaTheme="minorEastAsia" w:hAnsi="Times New Roman" w:cs="Times New Roman"/>
        </w:rPr>
        <w:t xml:space="preserve"> = Peak Load (kW) for load </w:t>
      </w:r>
      <w:r w:rsidR="00BA7C4F">
        <w:rPr>
          <w:rFonts w:ascii="Times New Roman" w:eastAsiaTheme="minorEastAsia" w:hAnsi="Times New Roman" w:cs="Times New Roman"/>
          <w:i/>
          <w:iCs/>
        </w:rPr>
        <w:t>j</w:t>
      </w:r>
    </w:p>
    <w:p w14:paraId="42B4B062" w14:textId="1E35975E" w:rsidR="00BA7C4F" w:rsidRPr="00BA7C4F" w:rsidRDefault="00BA7C4F" w:rsidP="00EF194B">
      <w:pPr>
        <w:ind w:left="1080" w:right="360"/>
        <w:rPr>
          <w:rFonts w:ascii="Times New Roman" w:hAnsi="Times New Roman" w:cs="Times New Roman"/>
        </w:rPr>
      </w:pPr>
      <m:oMath>
        <m:r>
          <w:rPr>
            <w:rFonts w:ascii="Cambria Math" w:hAnsi="Cambria Math" w:cs="Times New Roman"/>
          </w:rPr>
          <m:t>n</m:t>
        </m:r>
      </m:oMath>
      <w:r>
        <w:rPr>
          <w:rFonts w:ascii="Times New Roman" w:eastAsiaTheme="minorEastAsia" w:hAnsi="Times New Roman" w:cs="Times New Roman"/>
        </w:rPr>
        <w:t xml:space="preserve"> = Number of loads</w:t>
      </w:r>
    </w:p>
    <w:p w14:paraId="1D01AFBF" w14:textId="4FB2CB25" w:rsidR="00740223" w:rsidRDefault="00740223" w:rsidP="00740223">
      <w:pPr>
        <w:ind w:left="720" w:right="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66F71D8" wp14:editId="7262C3EE">
                <wp:simplePos x="0" y="0"/>
                <wp:positionH relativeFrom="column">
                  <wp:posOffset>3705367</wp:posOffset>
                </wp:positionH>
                <wp:positionV relativeFrom="paragraph">
                  <wp:posOffset>1781175</wp:posOffset>
                </wp:positionV>
                <wp:extent cx="470848" cy="197893"/>
                <wp:effectExtent l="0" t="0" r="5715" b="0"/>
                <wp:wrapNone/>
                <wp:docPr id="439131354" name="Rectangle 1"/>
                <wp:cNvGraphicFramePr/>
                <a:graphic xmlns:a="http://schemas.openxmlformats.org/drawingml/2006/main">
                  <a:graphicData uri="http://schemas.microsoft.com/office/word/2010/wordprocessingShape">
                    <wps:wsp>
                      <wps:cNvSpPr/>
                      <wps:spPr>
                        <a:xfrm>
                          <a:off x="0" y="0"/>
                          <a:ext cx="470848" cy="19789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84689" id="Rectangle 1" o:spid="_x0000_s1026" style="position:absolute;margin-left:291.75pt;margin-top:140.25pt;width:37.0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" fillcolor="white [3212]" stroked="f" strokeweight="1pt"/>
            </w:pict>
          </mc:Fallback>
        </mc:AlternateContent>
      </w:r>
      <w:r w:rsidRPr="00022BF9">
        <w:rPr>
          <w:rFonts w:ascii="Times New Roman" w:hAnsi="Times New Roman" w:cs="Times New Roman"/>
        </w:rPr>
        <w:t>f. For mutually exclusive loads, the load with the higher operating load value shall be assigned the appropriate load factor and the load with the lower operating load value shall be assigned a load factor of 0.</w:t>
      </w:r>
      <w:r>
        <w:rPr>
          <w:rFonts w:ascii="Times New Roman" w:hAnsi="Times New Roman" w:cs="Times New Roman"/>
        </w:rPr>
        <w:t xml:space="preserve"> (For ship demand power calculations; for 24-hour average calculations, the load factor should equal the average power divided by the connected load for each of the loads)”</w:t>
      </w:r>
    </w:p>
    <w:p w14:paraId="09841843" w14:textId="77777777" w:rsidR="00740223" w:rsidRDefault="00740223" w:rsidP="00740223">
      <w:pPr>
        <w:ind w:left="720" w:right="360"/>
        <w:jc w:val="center"/>
        <w:rPr>
          <w:rFonts w:ascii="Times New Roman" w:hAnsi="Times New Roman" w:cs="Times New Roman"/>
        </w:rPr>
      </w:pPr>
      <w:r w:rsidRPr="00022BF9">
        <w:rPr>
          <w:rFonts w:ascii="Times New Roman" w:hAnsi="Times New Roman" w:cs="Times New Roman"/>
          <w:noProof/>
        </w:rPr>
        <w:lastRenderedPageBreak/>
        <w:drawing>
          <wp:inline distT="0" distB="0" distL="0" distR="0" wp14:anchorId="37BAF24F" wp14:editId="19EE8290">
            <wp:extent cx="2743200" cy="2228264"/>
            <wp:effectExtent l="0" t="0" r="0" b="635"/>
            <wp:docPr id="1718136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6928" name=""/>
                    <pic:cNvPicPr/>
                  </pic:nvPicPr>
                  <pic:blipFill>
                    <a:blip r:embed="rId10"/>
                    <a:stretch>
                      <a:fillRect/>
                    </a:stretch>
                  </pic:blipFill>
                  <pic:spPr>
                    <a:xfrm>
                      <a:off x="0" y="0"/>
                      <a:ext cx="2743200" cy="2228264"/>
                    </a:xfrm>
                    <a:prstGeom prst="rect">
                      <a:avLst/>
                    </a:prstGeom>
                  </pic:spPr>
                </pic:pic>
              </a:graphicData>
            </a:graphic>
          </wp:inline>
        </w:drawing>
      </w:r>
    </w:p>
    <w:p w14:paraId="2BA36DE0" w14:textId="77777777" w:rsidR="00740223" w:rsidRDefault="00740223" w:rsidP="00740223">
      <w:pPr>
        <w:pStyle w:val="Caption"/>
      </w:pPr>
      <w:r>
        <w:t xml:space="preserve">Figure </w:t>
      </w:r>
      <w:fldSimple w:instr=" SEQ Figure \* ARABIC ">
        <w:r>
          <w:rPr>
            <w:noProof/>
          </w:rPr>
          <w:t>3</w:t>
        </w:r>
      </w:fldSimple>
      <w:r>
        <w:t>: Zonal load factor</w:t>
      </w:r>
    </w:p>
    <w:p w14:paraId="122C146C" w14:textId="661A6582" w:rsidR="00022BF9" w:rsidRDefault="00740223" w:rsidP="00740223">
      <w:pPr>
        <w:ind w:left="360" w:right="360"/>
        <w:rPr>
          <w:rFonts w:ascii="Times New Roman" w:hAnsi="Times New Roman" w:cs="Times New Roman"/>
        </w:rPr>
      </w:pPr>
      <w:r w:rsidRPr="00740223">
        <w:rPr>
          <w:rFonts w:ascii="Times New Roman" w:hAnsi="Times New Roman" w:cs="Times New Roman"/>
        </w:rPr>
        <w:t>DPC</w:t>
      </w:r>
      <w:r>
        <w:rPr>
          <w:rFonts w:ascii="Times New Roman" w:hAnsi="Times New Roman" w:cs="Times New Roman"/>
        </w:rPr>
        <w:t xml:space="preserve"> 310-1</w:t>
      </w:r>
      <w:r w:rsidRPr="00740223">
        <w:rPr>
          <w:rFonts w:ascii="Times New Roman" w:hAnsi="Times New Roman" w:cs="Times New Roman"/>
        </w:rPr>
        <w:t xml:space="preserve"> also provides guidance with respect to choosing load factors for motors:</w:t>
      </w:r>
    </w:p>
    <w:p w14:paraId="2D0C15BC" w14:textId="77777777" w:rsidR="00740223" w:rsidRDefault="00740223" w:rsidP="00740223">
      <w:pPr>
        <w:ind w:left="720" w:right="360"/>
        <w:rPr>
          <w:rFonts w:ascii="Times New Roman" w:hAnsi="Times New Roman" w:cs="Times New Roman"/>
        </w:rPr>
      </w:pPr>
      <w:r>
        <w:rPr>
          <w:rFonts w:ascii="Times New Roman" w:hAnsi="Times New Roman" w:cs="Times New Roman"/>
        </w:rPr>
        <w:t>“</w:t>
      </w:r>
      <w:r w:rsidRPr="00740223">
        <w:rPr>
          <w:rFonts w:ascii="Times New Roman" w:hAnsi="Times New Roman" w:cs="Times New Roman"/>
        </w:rPr>
        <w:t xml:space="preserve">In selecting the size of a motor necessary to drive an auxiliary at its rated output, a larger motor than actually required is normally chosen because: </w:t>
      </w:r>
    </w:p>
    <w:p w14:paraId="00BEAAB9" w14:textId="77777777" w:rsidR="00740223" w:rsidRDefault="00740223" w:rsidP="00740223">
      <w:pPr>
        <w:ind w:left="720" w:right="360" w:firstLine="72"/>
        <w:rPr>
          <w:rFonts w:ascii="Times New Roman" w:hAnsi="Times New Roman" w:cs="Times New Roman"/>
        </w:rPr>
      </w:pPr>
      <w:r w:rsidRPr="00740223">
        <w:rPr>
          <w:rFonts w:ascii="Times New Roman" w:hAnsi="Times New Roman" w:cs="Times New Roman"/>
        </w:rPr>
        <w:t xml:space="preserve">(1) In the design of the driven auxiliary, some margin in excess of calculated kW is allowed. Accordingly, the driving motor does not normally consume its rated kW when operating the driven auxiliary at its maximum load condition. </w:t>
      </w:r>
    </w:p>
    <w:p w14:paraId="46407122" w14:textId="4BD1F9B9" w:rsidR="00740223" w:rsidRDefault="00740223" w:rsidP="00740223">
      <w:pPr>
        <w:ind w:left="720" w:right="360" w:firstLine="72"/>
        <w:rPr>
          <w:rFonts w:ascii="Times New Roman" w:hAnsi="Times New Roman" w:cs="Times New Roman"/>
        </w:rPr>
      </w:pPr>
      <w:r w:rsidRPr="00740223">
        <w:rPr>
          <w:rFonts w:ascii="Times New Roman" w:hAnsi="Times New Roman" w:cs="Times New Roman"/>
        </w:rPr>
        <w:t>(2) The choice of available standard motor frame size may dictate selection of a larger than necessary motor.</w:t>
      </w:r>
      <w:r>
        <w:rPr>
          <w:rFonts w:ascii="Times New Roman" w:hAnsi="Times New Roman" w:cs="Times New Roman"/>
        </w:rPr>
        <w:t>”</w:t>
      </w:r>
    </w:p>
    <w:p w14:paraId="50069050" w14:textId="747ABCB5" w:rsidR="00740223" w:rsidRDefault="00740223" w:rsidP="00740223">
      <w:pPr>
        <w:ind w:left="360" w:right="360"/>
        <w:rPr>
          <w:rFonts w:ascii="Times New Roman" w:hAnsi="Times New Roman" w:cs="Times New Roman"/>
        </w:rPr>
      </w:pPr>
      <w:r>
        <w:rPr>
          <w:rFonts w:ascii="Times New Roman" w:hAnsi="Times New Roman" w:cs="Times New Roman"/>
        </w:rPr>
        <w:t>Additional guidance is provided by DPC 310-1</w:t>
      </w:r>
    </w:p>
    <w:p w14:paraId="1EA69517" w14:textId="02A039D6" w:rsidR="00740223" w:rsidRDefault="00FB7329" w:rsidP="00FB7329">
      <w:pPr>
        <w:ind w:left="720" w:right="360"/>
        <w:rPr>
          <w:rFonts w:ascii="Times New Roman" w:hAnsi="Times New Roman" w:cs="Times New Roman"/>
        </w:rPr>
      </w:pPr>
      <w:r>
        <w:rPr>
          <w:rFonts w:ascii="Times New Roman" w:hAnsi="Times New Roman" w:cs="Times New Roman"/>
        </w:rPr>
        <w:t>“</w:t>
      </w:r>
      <w:r w:rsidR="00740223" w:rsidRPr="00740223">
        <w:rPr>
          <w:rFonts w:ascii="Times New Roman" w:hAnsi="Times New Roman" w:cs="Times New Roman"/>
        </w:rPr>
        <w:t xml:space="preserve">For certain loads, calculating and tabulating actual kW load instead of using load factors is warranted. Examples include: </w:t>
      </w:r>
    </w:p>
    <w:p w14:paraId="5B5DEFC4" w14:textId="3DC4248B" w:rsidR="00740223" w:rsidRPr="00740223" w:rsidRDefault="00740223" w:rsidP="00740223">
      <w:pPr>
        <w:pStyle w:val="ListParagraph"/>
        <w:numPr>
          <w:ilvl w:val="0"/>
          <w:numId w:val="3"/>
        </w:numPr>
        <w:ind w:right="360"/>
        <w:rPr>
          <w:rFonts w:ascii="Times New Roman" w:hAnsi="Times New Roman" w:cs="Times New Roman"/>
        </w:rPr>
      </w:pPr>
      <w:r w:rsidRPr="00740223">
        <w:rPr>
          <w:rFonts w:ascii="Times New Roman" w:hAnsi="Times New Roman" w:cs="Times New Roman"/>
        </w:rPr>
        <w:t xml:space="preserve">Electric load for dedicated power conversion equipment: A detailed analysis of electric loads that are fed through dedicated power conversion equipment that are not considered part of the power distribution system shall be performed. Taking into consideration the efficiency of the conversion equipment, the kW load shall be listed in the power analysis in lieu of load factors. The load analysis shall note the sum of the electric loads served and the power conversion efficiency at that operating point. </w:t>
      </w:r>
    </w:p>
    <w:p w14:paraId="40F03A1D" w14:textId="7D94DCE0" w:rsidR="00740223" w:rsidRPr="00740223" w:rsidRDefault="00740223" w:rsidP="00740223">
      <w:pPr>
        <w:pStyle w:val="ListParagraph"/>
        <w:numPr>
          <w:ilvl w:val="0"/>
          <w:numId w:val="3"/>
        </w:numPr>
        <w:ind w:right="360"/>
        <w:rPr>
          <w:rFonts w:ascii="Times New Roman" w:hAnsi="Times New Roman" w:cs="Times New Roman"/>
        </w:rPr>
      </w:pPr>
      <w:r w:rsidRPr="00740223">
        <w:rPr>
          <w:rFonts w:ascii="Times New Roman" w:hAnsi="Times New Roman" w:cs="Times New Roman"/>
        </w:rPr>
        <w:t>Electric load for distribution system inefficiencies: Non-negligible distribution system losses (kW) (including losses from non-dedicated power conversion equipment that are part of the distribution system) shall be tabulated and incorporated into power analysis in lieu of load factors. The manner of incorporating these losses into the power analysis should be aligned with the methods used to estimate the losses.</w:t>
      </w:r>
      <w:r w:rsidR="00FB7329">
        <w:rPr>
          <w:rFonts w:ascii="Times New Roman" w:hAnsi="Times New Roman" w:cs="Times New Roman"/>
        </w:rPr>
        <w:t>”</w:t>
      </w:r>
    </w:p>
    <w:p w14:paraId="3EAEC833" w14:textId="2BBE7DA5" w:rsidR="00BD31DD" w:rsidRDefault="00361AFA" w:rsidP="008A1DF5">
      <w:pPr>
        <w:pStyle w:val="ListParagraph"/>
        <w:keepNext/>
        <w:numPr>
          <w:ilvl w:val="1"/>
          <w:numId w:val="1"/>
        </w:numPr>
        <w:contextualSpacing w:val="0"/>
        <w:rPr>
          <w:rFonts w:ascii="Times New Roman" w:hAnsi="Times New Roman" w:cs="Times New Roman"/>
        </w:rPr>
      </w:pPr>
      <w:r>
        <w:rPr>
          <w:rFonts w:ascii="Times New Roman" w:hAnsi="Times New Roman" w:cs="Times New Roman"/>
        </w:rPr>
        <w:lastRenderedPageBreak/>
        <w:t>Scaling from parent design</w:t>
      </w:r>
    </w:p>
    <w:p w14:paraId="5FEB0B20" w14:textId="0C98E15D" w:rsidR="00FC0061" w:rsidRPr="00FC0061" w:rsidRDefault="00E33F7D" w:rsidP="00E33F7D">
      <w:pPr>
        <w:ind w:left="360"/>
        <w:jc w:val="both"/>
        <w:rPr>
          <w:rFonts w:ascii="Times New Roman" w:hAnsi="Times New Roman" w:cs="Times New Roman"/>
        </w:rPr>
      </w:pPr>
      <w:r>
        <w:rPr>
          <w:rFonts w:ascii="Times New Roman" w:hAnsi="Times New Roman" w:cs="Times New Roman"/>
        </w:rPr>
        <w:t>Early in the ship design process, the load list is often created by modifying the load list of a parent design; loads are added and deleted as needed; connected loads are scaled based on differences from the parent design.  Often, the load factors from the parent design are directly used; best practice is to review each load factor and adjust based on differences in equipment and CONOPS from the parent ship.</w:t>
      </w:r>
    </w:p>
    <w:p w14:paraId="47712DDE" w14:textId="753B13FF" w:rsidR="00361AFA" w:rsidRDefault="00361AFA" w:rsidP="008A1DF5">
      <w:pPr>
        <w:pStyle w:val="ListParagraph"/>
        <w:keepNext/>
        <w:numPr>
          <w:ilvl w:val="1"/>
          <w:numId w:val="1"/>
        </w:numPr>
        <w:contextualSpacing w:val="0"/>
        <w:rPr>
          <w:rFonts w:ascii="Times New Roman" w:hAnsi="Times New Roman" w:cs="Times New Roman"/>
        </w:rPr>
      </w:pPr>
      <w:r>
        <w:rPr>
          <w:rFonts w:ascii="Times New Roman" w:hAnsi="Times New Roman" w:cs="Times New Roman"/>
        </w:rPr>
        <w:t>Using default values</w:t>
      </w:r>
    </w:p>
    <w:p w14:paraId="0A61A2BA" w14:textId="3FEF85A3" w:rsidR="00FB7329" w:rsidRPr="00FB7329" w:rsidRDefault="00FB7329" w:rsidP="00FB7329">
      <w:pPr>
        <w:ind w:left="360"/>
        <w:rPr>
          <w:rFonts w:ascii="Times New Roman" w:hAnsi="Times New Roman" w:cs="Times New Roman"/>
        </w:rPr>
      </w:pPr>
      <w:r>
        <w:rPr>
          <w:rFonts w:ascii="Times New Roman" w:hAnsi="Times New Roman" w:cs="Times New Roman"/>
        </w:rPr>
        <w:t>Both DPC 310-1 and IEEE Std. 45.1 provide tables of load factors for typical loads found on ship.  These tables should only be used if one is otherwise unable to collect sufficient data to develop a better estimate of the load factor.</w:t>
      </w:r>
    </w:p>
    <w:p w14:paraId="7C4A90DD" w14:textId="0E670E84" w:rsidR="00361AFA" w:rsidRDefault="00361AFA" w:rsidP="008A1DF5">
      <w:pPr>
        <w:pStyle w:val="ListParagraph"/>
        <w:keepNext/>
        <w:numPr>
          <w:ilvl w:val="1"/>
          <w:numId w:val="1"/>
        </w:numPr>
        <w:contextualSpacing w:val="0"/>
        <w:rPr>
          <w:rFonts w:ascii="Times New Roman" w:hAnsi="Times New Roman" w:cs="Times New Roman"/>
        </w:rPr>
      </w:pPr>
      <w:bookmarkStart w:id="3" w:name="_Ref230438472"/>
      <w:r>
        <w:rPr>
          <w:rFonts w:ascii="Times New Roman" w:hAnsi="Times New Roman" w:cs="Times New Roman"/>
        </w:rPr>
        <w:t>Measured data</w:t>
      </w:r>
      <w:bookmarkEnd w:id="3"/>
    </w:p>
    <w:p w14:paraId="05DA44B6" w14:textId="77777777" w:rsidR="0024360D" w:rsidRDefault="0024360D" w:rsidP="0024360D">
      <w:pPr>
        <w:pStyle w:val="ListParagraph"/>
        <w:ind w:left="360"/>
        <w:contextualSpacing w:val="0"/>
        <w:jc w:val="both"/>
        <w:rPr>
          <w:rFonts w:ascii="Times New Roman" w:hAnsi="Times New Roman" w:cs="Times New Roman"/>
        </w:rPr>
      </w:pPr>
      <w:r>
        <w:rPr>
          <w:rFonts w:ascii="Times New Roman" w:hAnsi="Times New Roman" w:cs="Times New Roman"/>
        </w:rPr>
        <w:t xml:space="preserve">Load factors for 24-hour average loads may be calculated on measured data for equipment installed and operated in a similar manner on an existing ship.  The average value for the load divided by the connected load yields the load factor for 24-hour average loads.  </w:t>
      </w:r>
    </w:p>
    <w:p w14:paraId="6D6F3780" w14:textId="213F1683" w:rsidR="00FC0061" w:rsidRDefault="0024360D" w:rsidP="0024360D">
      <w:pPr>
        <w:pStyle w:val="ListParagraph"/>
        <w:ind w:left="360"/>
        <w:contextualSpacing w:val="0"/>
        <w:jc w:val="both"/>
        <w:rPr>
          <w:rFonts w:ascii="Times New Roman" w:hAnsi="Times New Roman" w:cs="Times New Roman"/>
        </w:rPr>
      </w:pPr>
      <w:r>
        <w:rPr>
          <w:rFonts w:ascii="Times New Roman" w:hAnsi="Times New Roman" w:cs="Times New Roman"/>
        </w:rPr>
        <w:t xml:space="preserve">Determining the load factor for ship demand power-based determination of power system equipment sizing is more challenging.  One method is to use the measured data to calculate the average power for all the loads connected to the power system equipment on the existing ship for a given operating condition and ambient condition; determine how much power in addition to the average power that the power system equipment should be capable of providing for cycling loads; then apportion </w:t>
      </w:r>
      <w:r w:rsidR="004B0A29">
        <w:rPr>
          <w:rFonts w:ascii="Times New Roman" w:hAnsi="Times New Roman" w:cs="Times New Roman"/>
        </w:rPr>
        <w:t xml:space="preserve">this additional load among all the cycling loads using the peak load of the cycling load as a weighting factor.  The additional load for each cycling load dividing by its connected load should be added to the </w:t>
      </w:r>
      <w:proofErr w:type="gramStart"/>
      <w:r w:rsidR="004B0A29">
        <w:rPr>
          <w:rFonts w:ascii="Times New Roman" w:hAnsi="Times New Roman" w:cs="Times New Roman"/>
        </w:rPr>
        <w:t>24 hour</w:t>
      </w:r>
      <w:proofErr w:type="gramEnd"/>
      <w:r w:rsidR="004B0A29">
        <w:rPr>
          <w:rFonts w:ascii="Times New Roman" w:hAnsi="Times New Roman" w:cs="Times New Roman"/>
        </w:rPr>
        <w:t xml:space="preserve"> average based load factor to obtain the desired load factor for determine the required rating for a ship design.</w:t>
      </w:r>
    </w:p>
    <w:p w14:paraId="5AB0FF28" w14:textId="318BAFF8" w:rsidR="004B0A29" w:rsidRDefault="004B0A29" w:rsidP="0024360D">
      <w:pPr>
        <w:pStyle w:val="ListParagraph"/>
        <w:ind w:left="360"/>
        <w:contextualSpacing w:val="0"/>
        <w:jc w:val="both"/>
        <w:rPr>
          <w:rFonts w:ascii="Times New Roman" w:hAnsi="Times New Roman" w:cs="Times New Roman"/>
        </w:rPr>
      </w:pPr>
      <w:r>
        <w:rPr>
          <w:rFonts w:ascii="Times New Roman" w:hAnsi="Times New Roman" w:cs="Times New Roman"/>
        </w:rPr>
        <w:t xml:space="preserve">Another way is to use the zonal load factor calculation method described in section </w:t>
      </w:r>
      <w:r>
        <w:rPr>
          <w:rFonts w:ascii="Times New Roman" w:hAnsi="Times New Roman" w:cs="Times New Roman"/>
        </w:rPr>
        <w:fldChar w:fldCharType="begin"/>
      </w:r>
      <w:r>
        <w:rPr>
          <w:rFonts w:ascii="Times New Roman" w:hAnsi="Times New Roman" w:cs="Times New Roman"/>
        </w:rPr>
        <w:instrText xml:space="preserve"> REF _Ref230438358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p>
    <w:p w14:paraId="0D9A1183" w14:textId="0A40D735" w:rsidR="0024360D" w:rsidRDefault="0024360D" w:rsidP="004B0A29">
      <w:pPr>
        <w:pStyle w:val="ListParagraph"/>
        <w:keepNext/>
        <w:numPr>
          <w:ilvl w:val="1"/>
          <w:numId w:val="1"/>
        </w:numPr>
        <w:contextualSpacing w:val="0"/>
        <w:rPr>
          <w:rFonts w:ascii="Times New Roman" w:hAnsi="Times New Roman" w:cs="Times New Roman"/>
        </w:rPr>
      </w:pPr>
      <w:r>
        <w:rPr>
          <w:rFonts w:ascii="Times New Roman" w:hAnsi="Times New Roman" w:cs="Times New Roman"/>
        </w:rPr>
        <w:t>Modeling and simulation</w:t>
      </w:r>
    </w:p>
    <w:p w14:paraId="7C1E1500" w14:textId="0539EAAC" w:rsidR="004B0A29" w:rsidRDefault="004B0A29" w:rsidP="00FC0061">
      <w:pPr>
        <w:pStyle w:val="ListParagraph"/>
        <w:ind w:left="360"/>
        <w:contextualSpacing w:val="0"/>
        <w:rPr>
          <w:rFonts w:ascii="Times New Roman" w:hAnsi="Times New Roman" w:cs="Times New Roman"/>
        </w:rPr>
      </w:pPr>
      <w:r>
        <w:rPr>
          <w:rFonts w:ascii="Times New Roman" w:hAnsi="Times New Roman" w:cs="Times New Roman"/>
        </w:rPr>
        <w:t xml:space="preserve">If measured data is not available, </w:t>
      </w:r>
      <w:r w:rsidR="00215E1A">
        <w:rPr>
          <w:rFonts w:ascii="Times New Roman" w:hAnsi="Times New Roman" w:cs="Times New Roman"/>
        </w:rPr>
        <w:t>time-based</w:t>
      </w:r>
      <w:r>
        <w:rPr>
          <w:rFonts w:ascii="Times New Roman" w:hAnsi="Times New Roman" w:cs="Times New Roman"/>
        </w:rPr>
        <w:t xml:space="preserve"> simulation of the shipboard systems may be employed to directly create data for the ship under design.  The simulated data may be employed the same way as the measured data as described in section </w:t>
      </w:r>
      <w:r>
        <w:rPr>
          <w:rFonts w:ascii="Times New Roman" w:hAnsi="Times New Roman" w:cs="Times New Roman"/>
        </w:rPr>
        <w:fldChar w:fldCharType="begin"/>
      </w:r>
      <w:r>
        <w:rPr>
          <w:rFonts w:ascii="Times New Roman" w:hAnsi="Times New Roman" w:cs="Times New Roman"/>
        </w:rPr>
        <w:instrText xml:space="preserve"> REF _Ref230438472 \n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p>
    <w:p w14:paraId="210DD3F5" w14:textId="20647BBB" w:rsidR="0034723A" w:rsidRPr="0034723A" w:rsidRDefault="00E929F8"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051DAA86" w14:textId="491CEB3D" w:rsidR="00122EDC" w:rsidRDefault="00DA3603" w:rsidP="00DA3603">
      <w:pPr>
        <w:pStyle w:val="NormalWeb"/>
        <w:ind w:left="-90"/>
      </w:pPr>
      <w:r>
        <w:t>IEEE Std 45.</w:t>
      </w:r>
      <w:r w:rsidR="0051332F">
        <w:t>1</w:t>
      </w:r>
      <w:r>
        <w:t xml:space="preserve">, </w:t>
      </w:r>
      <w:r w:rsidRPr="00DA3603">
        <w:t>IEEE Recommended Practice for Electrical Installations on Shipboard</w:t>
      </w:r>
      <w:r>
        <w:t>—</w:t>
      </w:r>
      <w:r w:rsidRPr="00DA3603">
        <w:t>Design</w:t>
      </w:r>
    </w:p>
    <w:p w14:paraId="3460C89F" w14:textId="327441E5" w:rsidR="00E650D2" w:rsidRDefault="00E650D2" w:rsidP="000E3F1D">
      <w:pPr>
        <w:pStyle w:val="NormalWeb"/>
        <w:ind w:left="-90"/>
      </w:pPr>
      <w:r w:rsidRPr="00E650D2">
        <w:t>DPC 310-1</w:t>
      </w:r>
      <w:r>
        <w:t xml:space="preserve"> </w:t>
      </w:r>
      <w:r w:rsidRPr="00E650D2">
        <w:t>Electric Power Load Analysis (EPLA) for Surface Ships</w:t>
      </w:r>
    </w:p>
    <w:p w14:paraId="20FB5D26" w14:textId="0172914D" w:rsidR="00361AFA" w:rsidRDefault="00361AFA" w:rsidP="000E3F1D">
      <w:pPr>
        <w:pStyle w:val="NormalWeb"/>
        <w:ind w:left="-90"/>
      </w:pPr>
      <w:r w:rsidRPr="00361AFA">
        <w:t>Doerry, Dr. Norbert and Dr. John Amy Jr., "Electric Load Modeling," presented at ASNE Intelligent Ships Symposium, Philadelphia PA, April 9-10, 2019.</w:t>
      </w:r>
    </w:p>
    <w:sectPr w:rsidR="00361A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EDE2" w14:textId="77777777" w:rsidR="00AB1022" w:rsidRDefault="00AB1022" w:rsidP="008C641F">
      <w:pPr>
        <w:spacing w:after="0" w:line="240" w:lineRule="auto"/>
      </w:pPr>
      <w:r>
        <w:separator/>
      </w:r>
    </w:p>
  </w:endnote>
  <w:endnote w:type="continuationSeparator" w:id="0">
    <w:p w14:paraId="2B938FF3" w14:textId="77777777" w:rsidR="00AB1022" w:rsidRDefault="00AB1022"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296658809"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9974733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w:t>
    </w:r>
    <w:proofErr w:type="gramStart"/>
    <w:r w:rsidRPr="00124833">
      <w:t xml:space="preserve">   (</w:t>
    </w:r>
    <w:proofErr w:type="gramEnd"/>
    <w:r w:rsidRPr="00124833">
      <w:t>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828B" w14:textId="77777777" w:rsidR="00AB1022" w:rsidRDefault="00AB1022" w:rsidP="008C641F">
      <w:pPr>
        <w:spacing w:after="0" w:line="240" w:lineRule="auto"/>
      </w:pPr>
      <w:r>
        <w:separator/>
      </w:r>
    </w:p>
  </w:footnote>
  <w:footnote w:type="continuationSeparator" w:id="0">
    <w:p w14:paraId="2DFF14A8" w14:textId="77777777" w:rsidR="00AB1022" w:rsidRDefault="00AB1022"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B3AF9"/>
    <w:multiLevelType w:val="hybridMultilevel"/>
    <w:tmpl w:val="B2C6DCD0"/>
    <w:lvl w:ilvl="0" w:tplc="D14AA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054795"/>
    <w:multiLevelType w:val="multilevel"/>
    <w:tmpl w:val="5992A9A0"/>
    <w:lvl w:ilvl="0">
      <w:start w:val="1"/>
      <w:numFmt w:val="decimal"/>
      <w:pStyle w:val="tablecaption"/>
      <w:suff w:val="space"/>
      <w:lvlText w:val="Table %1."/>
      <w:lvlJc w:val="left"/>
      <w:pPr>
        <w:ind w:left="1980" w:firstLine="0"/>
      </w:pPr>
      <w:rPr>
        <w:rFonts w:ascii="Times New Roman" w:hAnsi="Times New Roman" w:hint="default"/>
        <w:b/>
        <w:i w:val="0"/>
        <w:sz w:val="18"/>
        <w:szCs w:val="18"/>
      </w:rPr>
    </w:lvl>
    <w:lvl w:ilvl="1">
      <w:start w:val="1"/>
      <w:numFmt w:val="decimal"/>
      <w:lvlText w:val="%1.%2."/>
      <w:lvlJc w:val="left"/>
      <w:pPr>
        <w:tabs>
          <w:tab w:val="num" w:pos="900"/>
        </w:tabs>
        <w:ind w:left="-108" w:hanging="432"/>
      </w:pPr>
      <w:rPr>
        <w:rFonts w:hint="default"/>
      </w:rPr>
    </w:lvl>
    <w:lvl w:ilvl="2">
      <w:start w:val="1"/>
      <w:numFmt w:val="decimal"/>
      <w:lvlText w:val="%1.%2.%3."/>
      <w:lvlJc w:val="left"/>
      <w:pPr>
        <w:tabs>
          <w:tab w:val="num" w:pos="1620"/>
        </w:tabs>
        <w:ind w:left="324" w:hanging="504"/>
      </w:pPr>
      <w:rPr>
        <w:rFonts w:hint="default"/>
      </w:rPr>
    </w:lvl>
    <w:lvl w:ilvl="3">
      <w:start w:val="1"/>
      <w:numFmt w:val="decimal"/>
      <w:lvlText w:val="%1.%2.%3.%4."/>
      <w:lvlJc w:val="left"/>
      <w:pPr>
        <w:tabs>
          <w:tab w:val="num" w:pos="2700"/>
        </w:tabs>
        <w:ind w:left="828" w:hanging="648"/>
      </w:pPr>
      <w:rPr>
        <w:rFonts w:hint="default"/>
      </w:rPr>
    </w:lvl>
    <w:lvl w:ilvl="4">
      <w:start w:val="1"/>
      <w:numFmt w:val="decimal"/>
      <w:lvlText w:val="%1.%2.%3.%4.%5."/>
      <w:lvlJc w:val="left"/>
      <w:pPr>
        <w:tabs>
          <w:tab w:val="num" w:pos="3420"/>
        </w:tabs>
        <w:ind w:left="1332" w:hanging="792"/>
      </w:pPr>
      <w:rPr>
        <w:rFonts w:hint="default"/>
      </w:rPr>
    </w:lvl>
    <w:lvl w:ilvl="5">
      <w:start w:val="1"/>
      <w:numFmt w:val="decimal"/>
      <w:lvlText w:val="%1.%2.%3.%4.%5.%6."/>
      <w:lvlJc w:val="left"/>
      <w:pPr>
        <w:tabs>
          <w:tab w:val="num" w:pos="4500"/>
        </w:tabs>
        <w:ind w:left="1836" w:hanging="936"/>
      </w:pPr>
      <w:rPr>
        <w:rFonts w:hint="default"/>
      </w:rPr>
    </w:lvl>
    <w:lvl w:ilvl="6">
      <w:start w:val="1"/>
      <w:numFmt w:val="decimal"/>
      <w:lvlText w:val="%1.%2.%3.%4.%5.%6.%7."/>
      <w:lvlJc w:val="left"/>
      <w:pPr>
        <w:tabs>
          <w:tab w:val="num" w:pos="5220"/>
        </w:tabs>
        <w:ind w:left="2340" w:hanging="1080"/>
      </w:pPr>
      <w:rPr>
        <w:rFonts w:hint="default"/>
      </w:rPr>
    </w:lvl>
    <w:lvl w:ilvl="7">
      <w:start w:val="1"/>
      <w:numFmt w:val="decimal"/>
      <w:lvlText w:val="%1.%2.%3.%4.%5.%6.%7.%8."/>
      <w:lvlJc w:val="left"/>
      <w:pPr>
        <w:tabs>
          <w:tab w:val="num" w:pos="6300"/>
        </w:tabs>
        <w:ind w:left="2844" w:hanging="1224"/>
      </w:pPr>
      <w:rPr>
        <w:rFonts w:hint="default"/>
      </w:rPr>
    </w:lvl>
    <w:lvl w:ilvl="8">
      <w:start w:val="1"/>
      <w:numFmt w:val="decimal"/>
      <w:lvlText w:val="%1.%2.%3.%4.%5.%6.%7.%8.%9."/>
      <w:lvlJc w:val="left"/>
      <w:pPr>
        <w:tabs>
          <w:tab w:val="num" w:pos="7020"/>
        </w:tabs>
        <w:ind w:left="3420" w:hanging="1440"/>
      </w:pPr>
      <w:rPr>
        <w:rFonts w:hint="default"/>
      </w:rPr>
    </w:lvl>
  </w:abstractNum>
  <w:num w:numId="1" w16cid:durableId="750811941">
    <w:abstractNumId w:val="0"/>
  </w:num>
  <w:num w:numId="2" w16cid:durableId="1614943384">
    <w:abstractNumId w:val="2"/>
  </w:num>
  <w:num w:numId="3" w16cid:durableId="20978999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44FD"/>
    <w:rsid w:val="00016FB7"/>
    <w:rsid w:val="00017A95"/>
    <w:rsid w:val="00021CC0"/>
    <w:rsid w:val="00022BF9"/>
    <w:rsid w:val="000234BB"/>
    <w:rsid w:val="00026505"/>
    <w:rsid w:val="00027200"/>
    <w:rsid w:val="000312FB"/>
    <w:rsid w:val="000326DA"/>
    <w:rsid w:val="000336D4"/>
    <w:rsid w:val="00034183"/>
    <w:rsid w:val="000359E1"/>
    <w:rsid w:val="00040B96"/>
    <w:rsid w:val="00041571"/>
    <w:rsid w:val="00042F44"/>
    <w:rsid w:val="00044701"/>
    <w:rsid w:val="0004490D"/>
    <w:rsid w:val="00044B38"/>
    <w:rsid w:val="00046E2C"/>
    <w:rsid w:val="0005354F"/>
    <w:rsid w:val="000542F8"/>
    <w:rsid w:val="000545C1"/>
    <w:rsid w:val="00055791"/>
    <w:rsid w:val="00056D5C"/>
    <w:rsid w:val="000603F7"/>
    <w:rsid w:val="000606C6"/>
    <w:rsid w:val="00062C95"/>
    <w:rsid w:val="0006606C"/>
    <w:rsid w:val="000666C6"/>
    <w:rsid w:val="00072EFC"/>
    <w:rsid w:val="000736C2"/>
    <w:rsid w:val="00073D04"/>
    <w:rsid w:val="00074676"/>
    <w:rsid w:val="00074E75"/>
    <w:rsid w:val="00075288"/>
    <w:rsid w:val="00076054"/>
    <w:rsid w:val="00080EDC"/>
    <w:rsid w:val="00081D04"/>
    <w:rsid w:val="00082660"/>
    <w:rsid w:val="000850B0"/>
    <w:rsid w:val="000864FB"/>
    <w:rsid w:val="0008722D"/>
    <w:rsid w:val="00090235"/>
    <w:rsid w:val="0009163D"/>
    <w:rsid w:val="00093A42"/>
    <w:rsid w:val="00094CC0"/>
    <w:rsid w:val="00095CA8"/>
    <w:rsid w:val="0009690C"/>
    <w:rsid w:val="000A0181"/>
    <w:rsid w:val="000A1008"/>
    <w:rsid w:val="000A14C2"/>
    <w:rsid w:val="000A30A0"/>
    <w:rsid w:val="000B1FC1"/>
    <w:rsid w:val="000B20EB"/>
    <w:rsid w:val="000B242F"/>
    <w:rsid w:val="000B28E9"/>
    <w:rsid w:val="000B5F4A"/>
    <w:rsid w:val="000C488B"/>
    <w:rsid w:val="000D0ED8"/>
    <w:rsid w:val="000D222C"/>
    <w:rsid w:val="000D50AC"/>
    <w:rsid w:val="000D639D"/>
    <w:rsid w:val="000D6E39"/>
    <w:rsid w:val="000D7C8D"/>
    <w:rsid w:val="000E10C8"/>
    <w:rsid w:val="000E398E"/>
    <w:rsid w:val="000E3F1D"/>
    <w:rsid w:val="000E53A0"/>
    <w:rsid w:val="000E6529"/>
    <w:rsid w:val="000E6EA7"/>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5F8E"/>
    <w:rsid w:val="00146150"/>
    <w:rsid w:val="001466AB"/>
    <w:rsid w:val="00150D7C"/>
    <w:rsid w:val="00151581"/>
    <w:rsid w:val="0015232F"/>
    <w:rsid w:val="001537DD"/>
    <w:rsid w:val="001540C2"/>
    <w:rsid w:val="00154BDA"/>
    <w:rsid w:val="00155202"/>
    <w:rsid w:val="00160E54"/>
    <w:rsid w:val="00162456"/>
    <w:rsid w:val="00164302"/>
    <w:rsid w:val="001649D3"/>
    <w:rsid w:val="00164A93"/>
    <w:rsid w:val="00164B28"/>
    <w:rsid w:val="00172CAE"/>
    <w:rsid w:val="0017360A"/>
    <w:rsid w:val="00173937"/>
    <w:rsid w:val="00174065"/>
    <w:rsid w:val="00175AD1"/>
    <w:rsid w:val="00177C7D"/>
    <w:rsid w:val="00186BE2"/>
    <w:rsid w:val="00190876"/>
    <w:rsid w:val="00191F8A"/>
    <w:rsid w:val="0019205C"/>
    <w:rsid w:val="001926CB"/>
    <w:rsid w:val="00195DF1"/>
    <w:rsid w:val="001961E8"/>
    <w:rsid w:val="001A27F4"/>
    <w:rsid w:val="001A2D57"/>
    <w:rsid w:val="001A5CE4"/>
    <w:rsid w:val="001A6EE2"/>
    <w:rsid w:val="001B04A3"/>
    <w:rsid w:val="001B243F"/>
    <w:rsid w:val="001B382E"/>
    <w:rsid w:val="001B38BF"/>
    <w:rsid w:val="001B4BB1"/>
    <w:rsid w:val="001B578E"/>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57CB"/>
    <w:rsid w:val="00215E1A"/>
    <w:rsid w:val="0021706C"/>
    <w:rsid w:val="002202E6"/>
    <w:rsid w:val="00220923"/>
    <w:rsid w:val="00222941"/>
    <w:rsid w:val="00222C0D"/>
    <w:rsid w:val="00223889"/>
    <w:rsid w:val="00224D9B"/>
    <w:rsid w:val="00224F6D"/>
    <w:rsid w:val="00225D6F"/>
    <w:rsid w:val="00225EEC"/>
    <w:rsid w:val="002278A6"/>
    <w:rsid w:val="00230142"/>
    <w:rsid w:val="00235307"/>
    <w:rsid w:val="00236654"/>
    <w:rsid w:val="00236FDA"/>
    <w:rsid w:val="00240E8C"/>
    <w:rsid w:val="00241C3A"/>
    <w:rsid w:val="0024360D"/>
    <w:rsid w:val="00244ED7"/>
    <w:rsid w:val="002462C1"/>
    <w:rsid w:val="0025119E"/>
    <w:rsid w:val="0025295B"/>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366A"/>
    <w:rsid w:val="002A49B4"/>
    <w:rsid w:val="002A542C"/>
    <w:rsid w:val="002B2061"/>
    <w:rsid w:val="002B5826"/>
    <w:rsid w:val="002C0D1E"/>
    <w:rsid w:val="002C0F73"/>
    <w:rsid w:val="002C1D9B"/>
    <w:rsid w:val="002C562F"/>
    <w:rsid w:val="002C7EF3"/>
    <w:rsid w:val="002E34B3"/>
    <w:rsid w:val="002E5014"/>
    <w:rsid w:val="002E768B"/>
    <w:rsid w:val="002F0678"/>
    <w:rsid w:val="002F07DA"/>
    <w:rsid w:val="002F0CAC"/>
    <w:rsid w:val="002F0EBE"/>
    <w:rsid w:val="002F20ED"/>
    <w:rsid w:val="002F438C"/>
    <w:rsid w:val="002F535D"/>
    <w:rsid w:val="002F53CA"/>
    <w:rsid w:val="002F543E"/>
    <w:rsid w:val="002F6F96"/>
    <w:rsid w:val="002F777B"/>
    <w:rsid w:val="003004AC"/>
    <w:rsid w:val="003016A3"/>
    <w:rsid w:val="00301744"/>
    <w:rsid w:val="00301B27"/>
    <w:rsid w:val="0030253B"/>
    <w:rsid w:val="00302C96"/>
    <w:rsid w:val="00310258"/>
    <w:rsid w:val="00310C0B"/>
    <w:rsid w:val="00312925"/>
    <w:rsid w:val="00313560"/>
    <w:rsid w:val="00313A77"/>
    <w:rsid w:val="00315382"/>
    <w:rsid w:val="0031639F"/>
    <w:rsid w:val="003211BC"/>
    <w:rsid w:val="00321AD3"/>
    <w:rsid w:val="00321E8A"/>
    <w:rsid w:val="00322E4C"/>
    <w:rsid w:val="003247C2"/>
    <w:rsid w:val="00332496"/>
    <w:rsid w:val="00332C99"/>
    <w:rsid w:val="00334803"/>
    <w:rsid w:val="003372EB"/>
    <w:rsid w:val="00337C37"/>
    <w:rsid w:val="0034022D"/>
    <w:rsid w:val="0034273F"/>
    <w:rsid w:val="0034723A"/>
    <w:rsid w:val="003501EE"/>
    <w:rsid w:val="0035280A"/>
    <w:rsid w:val="0035399B"/>
    <w:rsid w:val="00354D11"/>
    <w:rsid w:val="00361AFA"/>
    <w:rsid w:val="0036221F"/>
    <w:rsid w:val="00362D2F"/>
    <w:rsid w:val="003632E4"/>
    <w:rsid w:val="00363ED3"/>
    <w:rsid w:val="00366348"/>
    <w:rsid w:val="00370EFB"/>
    <w:rsid w:val="00374CC0"/>
    <w:rsid w:val="0037511D"/>
    <w:rsid w:val="0037769C"/>
    <w:rsid w:val="00380620"/>
    <w:rsid w:val="003819EF"/>
    <w:rsid w:val="0038226E"/>
    <w:rsid w:val="00384A78"/>
    <w:rsid w:val="00387A1E"/>
    <w:rsid w:val="00390B77"/>
    <w:rsid w:val="00394D21"/>
    <w:rsid w:val="003960DD"/>
    <w:rsid w:val="00397F85"/>
    <w:rsid w:val="003A03F1"/>
    <w:rsid w:val="003A147A"/>
    <w:rsid w:val="003A3E5D"/>
    <w:rsid w:val="003A438D"/>
    <w:rsid w:val="003B00B5"/>
    <w:rsid w:val="003B2041"/>
    <w:rsid w:val="003B4095"/>
    <w:rsid w:val="003B618D"/>
    <w:rsid w:val="003B78EE"/>
    <w:rsid w:val="003C10EE"/>
    <w:rsid w:val="003C182D"/>
    <w:rsid w:val="003C3789"/>
    <w:rsid w:val="003C5DCF"/>
    <w:rsid w:val="003D156D"/>
    <w:rsid w:val="003D3622"/>
    <w:rsid w:val="003D389F"/>
    <w:rsid w:val="003D4D37"/>
    <w:rsid w:val="003D4EFE"/>
    <w:rsid w:val="003E12FD"/>
    <w:rsid w:val="003E134D"/>
    <w:rsid w:val="003E1AB7"/>
    <w:rsid w:val="003E3E1E"/>
    <w:rsid w:val="003E6003"/>
    <w:rsid w:val="003E6D1D"/>
    <w:rsid w:val="003E7CF0"/>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17E8"/>
    <w:rsid w:val="00432059"/>
    <w:rsid w:val="004320AD"/>
    <w:rsid w:val="004341D2"/>
    <w:rsid w:val="00434F51"/>
    <w:rsid w:val="00435231"/>
    <w:rsid w:val="0043682E"/>
    <w:rsid w:val="0044040A"/>
    <w:rsid w:val="00442C54"/>
    <w:rsid w:val="004436B8"/>
    <w:rsid w:val="004444BE"/>
    <w:rsid w:val="00444EE4"/>
    <w:rsid w:val="00446B63"/>
    <w:rsid w:val="00450964"/>
    <w:rsid w:val="00452F9D"/>
    <w:rsid w:val="00453ED1"/>
    <w:rsid w:val="0045619A"/>
    <w:rsid w:val="004562DB"/>
    <w:rsid w:val="00460D0E"/>
    <w:rsid w:val="004615A6"/>
    <w:rsid w:val="004642B5"/>
    <w:rsid w:val="00464F26"/>
    <w:rsid w:val="00465E7B"/>
    <w:rsid w:val="00467865"/>
    <w:rsid w:val="004729BF"/>
    <w:rsid w:val="00474DD8"/>
    <w:rsid w:val="00476A83"/>
    <w:rsid w:val="00480A0F"/>
    <w:rsid w:val="00483501"/>
    <w:rsid w:val="00492A75"/>
    <w:rsid w:val="004932DE"/>
    <w:rsid w:val="00494E1B"/>
    <w:rsid w:val="00495ADD"/>
    <w:rsid w:val="00496816"/>
    <w:rsid w:val="004A20A1"/>
    <w:rsid w:val="004A2D24"/>
    <w:rsid w:val="004A51A7"/>
    <w:rsid w:val="004A567E"/>
    <w:rsid w:val="004A5D5E"/>
    <w:rsid w:val="004A6679"/>
    <w:rsid w:val="004B0A29"/>
    <w:rsid w:val="004B50AD"/>
    <w:rsid w:val="004C3209"/>
    <w:rsid w:val="004C6478"/>
    <w:rsid w:val="004C738B"/>
    <w:rsid w:val="004C7C38"/>
    <w:rsid w:val="004D2E1D"/>
    <w:rsid w:val="004D30C7"/>
    <w:rsid w:val="004D69E1"/>
    <w:rsid w:val="004D7668"/>
    <w:rsid w:val="004D778D"/>
    <w:rsid w:val="004D7917"/>
    <w:rsid w:val="004E16E0"/>
    <w:rsid w:val="004E4495"/>
    <w:rsid w:val="004E7458"/>
    <w:rsid w:val="004F0118"/>
    <w:rsid w:val="004F4BE4"/>
    <w:rsid w:val="004F56E4"/>
    <w:rsid w:val="005005E7"/>
    <w:rsid w:val="0050439B"/>
    <w:rsid w:val="00504BA9"/>
    <w:rsid w:val="005104B4"/>
    <w:rsid w:val="00510C6E"/>
    <w:rsid w:val="00512536"/>
    <w:rsid w:val="00512A73"/>
    <w:rsid w:val="00513210"/>
    <w:rsid w:val="0051332F"/>
    <w:rsid w:val="00515A0B"/>
    <w:rsid w:val="00515D20"/>
    <w:rsid w:val="00520609"/>
    <w:rsid w:val="00523F26"/>
    <w:rsid w:val="0052526F"/>
    <w:rsid w:val="0052663B"/>
    <w:rsid w:val="0053084C"/>
    <w:rsid w:val="00530E66"/>
    <w:rsid w:val="0053372B"/>
    <w:rsid w:val="005344FC"/>
    <w:rsid w:val="00534889"/>
    <w:rsid w:val="005373A3"/>
    <w:rsid w:val="00537588"/>
    <w:rsid w:val="00537610"/>
    <w:rsid w:val="005419F7"/>
    <w:rsid w:val="005423FC"/>
    <w:rsid w:val="005464EF"/>
    <w:rsid w:val="005469D5"/>
    <w:rsid w:val="00552918"/>
    <w:rsid w:val="0056030D"/>
    <w:rsid w:val="00563757"/>
    <w:rsid w:val="005639E2"/>
    <w:rsid w:val="005660F4"/>
    <w:rsid w:val="0056744A"/>
    <w:rsid w:val="00570502"/>
    <w:rsid w:val="00570532"/>
    <w:rsid w:val="005721E3"/>
    <w:rsid w:val="00572E02"/>
    <w:rsid w:val="00574572"/>
    <w:rsid w:val="00574A1C"/>
    <w:rsid w:val="00577067"/>
    <w:rsid w:val="00577D4A"/>
    <w:rsid w:val="00583384"/>
    <w:rsid w:val="00591DC5"/>
    <w:rsid w:val="00593545"/>
    <w:rsid w:val="00593AD7"/>
    <w:rsid w:val="00596AA0"/>
    <w:rsid w:val="00597188"/>
    <w:rsid w:val="00597C24"/>
    <w:rsid w:val="005A23DA"/>
    <w:rsid w:val="005A3BC3"/>
    <w:rsid w:val="005A6A45"/>
    <w:rsid w:val="005A6B82"/>
    <w:rsid w:val="005A77A0"/>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5168"/>
    <w:rsid w:val="005F6F52"/>
    <w:rsid w:val="00602AD7"/>
    <w:rsid w:val="00603C08"/>
    <w:rsid w:val="0060466F"/>
    <w:rsid w:val="00605651"/>
    <w:rsid w:val="006073CC"/>
    <w:rsid w:val="0061012B"/>
    <w:rsid w:val="0061317C"/>
    <w:rsid w:val="006146B8"/>
    <w:rsid w:val="00614D7B"/>
    <w:rsid w:val="00615E97"/>
    <w:rsid w:val="006168FE"/>
    <w:rsid w:val="0061794C"/>
    <w:rsid w:val="00617CE8"/>
    <w:rsid w:val="00617FDC"/>
    <w:rsid w:val="00621926"/>
    <w:rsid w:val="006234DA"/>
    <w:rsid w:val="006309E2"/>
    <w:rsid w:val="0063281C"/>
    <w:rsid w:val="0063305A"/>
    <w:rsid w:val="00633EA5"/>
    <w:rsid w:val="00637C0E"/>
    <w:rsid w:val="0064005B"/>
    <w:rsid w:val="006400CB"/>
    <w:rsid w:val="006404E5"/>
    <w:rsid w:val="00641721"/>
    <w:rsid w:val="00643583"/>
    <w:rsid w:val="00646F6C"/>
    <w:rsid w:val="006471A5"/>
    <w:rsid w:val="00652765"/>
    <w:rsid w:val="0065325D"/>
    <w:rsid w:val="0065334F"/>
    <w:rsid w:val="00653371"/>
    <w:rsid w:val="00653E35"/>
    <w:rsid w:val="006557C3"/>
    <w:rsid w:val="006558AB"/>
    <w:rsid w:val="006605E5"/>
    <w:rsid w:val="00662AEA"/>
    <w:rsid w:val="00666630"/>
    <w:rsid w:val="00681F52"/>
    <w:rsid w:val="0068641A"/>
    <w:rsid w:val="00686F8E"/>
    <w:rsid w:val="006911E4"/>
    <w:rsid w:val="0069188F"/>
    <w:rsid w:val="006955D4"/>
    <w:rsid w:val="00696E50"/>
    <w:rsid w:val="00697189"/>
    <w:rsid w:val="006A088A"/>
    <w:rsid w:val="006A29CA"/>
    <w:rsid w:val="006A491C"/>
    <w:rsid w:val="006A7B46"/>
    <w:rsid w:val="006B6A41"/>
    <w:rsid w:val="006C25ED"/>
    <w:rsid w:val="006C2CE9"/>
    <w:rsid w:val="006C331C"/>
    <w:rsid w:val="006C370E"/>
    <w:rsid w:val="006C4AA0"/>
    <w:rsid w:val="006C514E"/>
    <w:rsid w:val="006C5F29"/>
    <w:rsid w:val="006C6115"/>
    <w:rsid w:val="006D2DCF"/>
    <w:rsid w:val="006D2E20"/>
    <w:rsid w:val="006D3E31"/>
    <w:rsid w:val="006D54BB"/>
    <w:rsid w:val="006D6AD6"/>
    <w:rsid w:val="006E0191"/>
    <w:rsid w:val="006E18D8"/>
    <w:rsid w:val="006F38CA"/>
    <w:rsid w:val="006F3D78"/>
    <w:rsid w:val="006F3ED0"/>
    <w:rsid w:val="006F54F1"/>
    <w:rsid w:val="006F68C0"/>
    <w:rsid w:val="00700432"/>
    <w:rsid w:val="00701100"/>
    <w:rsid w:val="00702936"/>
    <w:rsid w:val="0070331F"/>
    <w:rsid w:val="00703F9D"/>
    <w:rsid w:val="00710DCD"/>
    <w:rsid w:val="00712660"/>
    <w:rsid w:val="00713C1C"/>
    <w:rsid w:val="00717F31"/>
    <w:rsid w:val="007201A7"/>
    <w:rsid w:val="00722B24"/>
    <w:rsid w:val="00724FB5"/>
    <w:rsid w:val="00726B9C"/>
    <w:rsid w:val="007314FA"/>
    <w:rsid w:val="00731C5C"/>
    <w:rsid w:val="00731CB2"/>
    <w:rsid w:val="007324DA"/>
    <w:rsid w:val="00732EDF"/>
    <w:rsid w:val="00733DD9"/>
    <w:rsid w:val="00734912"/>
    <w:rsid w:val="00734B56"/>
    <w:rsid w:val="00735597"/>
    <w:rsid w:val="00740089"/>
    <w:rsid w:val="00740223"/>
    <w:rsid w:val="00743AA4"/>
    <w:rsid w:val="00743CC3"/>
    <w:rsid w:val="0074589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94DD7"/>
    <w:rsid w:val="007A1A8D"/>
    <w:rsid w:val="007A240F"/>
    <w:rsid w:val="007A478B"/>
    <w:rsid w:val="007A6AE6"/>
    <w:rsid w:val="007B3933"/>
    <w:rsid w:val="007B55E9"/>
    <w:rsid w:val="007C2A8D"/>
    <w:rsid w:val="007C3EBC"/>
    <w:rsid w:val="007C4823"/>
    <w:rsid w:val="007C6070"/>
    <w:rsid w:val="007C71FD"/>
    <w:rsid w:val="007D1045"/>
    <w:rsid w:val="007D1D8F"/>
    <w:rsid w:val="007D23C8"/>
    <w:rsid w:val="007D3840"/>
    <w:rsid w:val="007D3FBE"/>
    <w:rsid w:val="007E39E6"/>
    <w:rsid w:val="007E3EC3"/>
    <w:rsid w:val="007E52C1"/>
    <w:rsid w:val="007F4854"/>
    <w:rsid w:val="007F7D90"/>
    <w:rsid w:val="008005E9"/>
    <w:rsid w:val="0080064A"/>
    <w:rsid w:val="00802228"/>
    <w:rsid w:val="008040BB"/>
    <w:rsid w:val="00805949"/>
    <w:rsid w:val="00806220"/>
    <w:rsid w:val="008071BA"/>
    <w:rsid w:val="00807B0E"/>
    <w:rsid w:val="00811E73"/>
    <w:rsid w:val="008129C3"/>
    <w:rsid w:val="00815A1E"/>
    <w:rsid w:val="008206DC"/>
    <w:rsid w:val="008218B4"/>
    <w:rsid w:val="0082350E"/>
    <w:rsid w:val="008252AE"/>
    <w:rsid w:val="008275F6"/>
    <w:rsid w:val="008303C1"/>
    <w:rsid w:val="00830BAC"/>
    <w:rsid w:val="0083372A"/>
    <w:rsid w:val="00833F38"/>
    <w:rsid w:val="008346BB"/>
    <w:rsid w:val="00835DD1"/>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23C3"/>
    <w:rsid w:val="0088558D"/>
    <w:rsid w:val="00886645"/>
    <w:rsid w:val="008943B5"/>
    <w:rsid w:val="008955DF"/>
    <w:rsid w:val="008A0C92"/>
    <w:rsid w:val="008A10DF"/>
    <w:rsid w:val="008A1DF5"/>
    <w:rsid w:val="008A40D4"/>
    <w:rsid w:val="008B08BA"/>
    <w:rsid w:val="008B0F36"/>
    <w:rsid w:val="008B1309"/>
    <w:rsid w:val="008B5799"/>
    <w:rsid w:val="008C079A"/>
    <w:rsid w:val="008C1061"/>
    <w:rsid w:val="008C2122"/>
    <w:rsid w:val="008C255E"/>
    <w:rsid w:val="008C49FD"/>
    <w:rsid w:val="008C4C0B"/>
    <w:rsid w:val="008C641F"/>
    <w:rsid w:val="008D010F"/>
    <w:rsid w:val="008D2DD8"/>
    <w:rsid w:val="008D47A1"/>
    <w:rsid w:val="008D78F0"/>
    <w:rsid w:val="008E5FF0"/>
    <w:rsid w:val="008E7BA6"/>
    <w:rsid w:val="008E7C65"/>
    <w:rsid w:val="008E7FA8"/>
    <w:rsid w:val="008F0566"/>
    <w:rsid w:val="008F133D"/>
    <w:rsid w:val="008F1F64"/>
    <w:rsid w:val="008F24C9"/>
    <w:rsid w:val="008F2D19"/>
    <w:rsid w:val="00901B43"/>
    <w:rsid w:val="00904ECD"/>
    <w:rsid w:val="00910774"/>
    <w:rsid w:val="00911271"/>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34D6"/>
    <w:rsid w:val="00945452"/>
    <w:rsid w:val="00947018"/>
    <w:rsid w:val="00950CD1"/>
    <w:rsid w:val="00951BAF"/>
    <w:rsid w:val="00951FB8"/>
    <w:rsid w:val="009561B7"/>
    <w:rsid w:val="009568D8"/>
    <w:rsid w:val="00956ED1"/>
    <w:rsid w:val="009572E4"/>
    <w:rsid w:val="00957649"/>
    <w:rsid w:val="00957EC6"/>
    <w:rsid w:val="0096286B"/>
    <w:rsid w:val="009628A7"/>
    <w:rsid w:val="00963199"/>
    <w:rsid w:val="009716E6"/>
    <w:rsid w:val="009734BD"/>
    <w:rsid w:val="00976E9F"/>
    <w:rsid w:val="009770A7"/>
    <w:rsid w:val="00977E46"/>
    <w:rsid w:val="00980214"/>
    <w:rsid w:val="0098176A"/>
    <w:rsid w:val="009840B6"/>
    <w:rsid w:val="0098654D"/>
    <w:rsid w:val="009869DE"/>
    <w:rsid w:val="00986BBE"/>
    <w:rsid w:val="00990E5E"/>
    <w:rsid w:val="009918DF"/>
    <w:rsid w:val="00992D4F"/>
    <w:rsid w:val="00995A48"/>
    <w:rsid w:val="009967D6"/>
    <w:rsid w:val="00996993"/>
    <w:rsid w:val="009A04A4"/>
    <w:rsid w:val="009A094B"/>
    <w:rsid w:val="009A12FB"/>
    <w:rsid w:val="009A2765"/>
    <w:rsid w:val="009A6B80"/>
    <w:rsid w:val="009A6DB5"/>
    <w:rsid w:val="009B176F"/>
    <w:rsid w:val="009B1B5D"/>
    <w:rsid w:val="009B3121"/>
    <w:rsid w:val="009B3E91"/>
    <w:rsid w:val="009B52D3"/>
    <w:rsid w:val="009B65EA"/>
    <w:rsid w:val="009B7F66"/>
    <w:rsid w:val="009C01FD"/>
    <w:rsid w:val="009C3D34"/>
    <w:rsid w:val="009C4307"/>
    <w:rsid w:val="009C69A5"/>
    <w:rsid w:val="009D0328"/>
    <w:rsid w:val="009D0CA2"/>
    <w:rsid w:val="009D0E59"/>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2178"/>
    <w:rsid w:val="00A2786E"/>
    <w:rsid w:val="00A27945"/>
    <w:rsid w:val="00A322A4"/>
    <w:rsid w:val="00A34F06"/>
    <w:rsid w:val="00A34FA0"/>
    <w:rsid w:val="00A35AFE"/>
    <w:rsid w:val="00A36638"/>
    <w:rsid w:val="00A37CDD"/>
    <w:rsid w:val="00A402AA"/>
    <w:rsid w:val="00A4099C"/>
    <w:rsid w:val="00A4257C"/>
    <w:rsid w:val="00A43ABA"/>
    <w:rsid w:val="00A4530D"/>
    <w:rsid w:val="00A4620A"/>
    <w:rsid w:val="00A47254"/>
    <w:rsid w:val="00A53CDC"/>
    <w:rsid w:val="00A54357"/>
    <w:rsid w:val="00A566B3"/>
    <w:rsid w:val="00A5758B"/>
    <w:rsid w:val="00A606CC"/>
    <w:rsid w:val="00A61D33"/>
    <w:rsid w:val="00A62681"/>
    <w:rsid w:val="00A67454"/>
    <w:rsid w:val="00A7061E"/>
    <w:rsid w:val="00A7089E"/>
    <w:rsid w:val="00A7125C"/>
    <w:rsid w:val="00A72935"/>
    <w:rsid w:val="00A75B82"/>
    <w:rsid w:val="00A81CD0"/>
    <w:rsid w:val="00A82441"/>
    <w:rsid w:val="00A82FC4"/>
    <w:rsid w:val="00A877A4"/>
    <w:rsid w:val="00A90E76"/>
    <w:rsid w:val="00A9289A"/>
    <w:rsid w:val="00AA2E58"/>
    <w:rsid w:val="00AB1022"/>
    <w:rsid w:val="00AB3F5D"/>
    <w:rsid w:val="00AB47D1"/>
    <w:rsid w:val="00AB50BA"/>
    <w:rsid w:val="00AB5A13"/>
    <w:rsid w:val="00AB5FB6"/>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AF6458"/>
    <w:rsid w:val="00B04496"/>
    <w:rsid w:val="00B06ED5"/>
    <w:rsid w:val="00B06EDF"/>
    <w:rsid w:val="00B13347"/>
    <w:rsid w:val="00B14B9C"/>
    <w:rsid w:val="00B14D3D"/>
    <w:rsid w:val="00B14F4B"/>
    <w:rsid w:val="00B15DD4"/>
    <w:rsid w:val="00B17920"/>
    <w:rsid w:val="00B20956"/>
    <w:rsid w:val="00B2348F"/>
    <w:rsid w:val="00B237B7"/>
    <w:rsid w:val="00B2561A"/>
    <w:rsid w:val="00B25DC1"/>
    <w:rsid w:val="00B32327"/>
    <w:rsid w:val="00B3348C"/>
    <w:rsid w:val="00B3378C"/>
    <w:rsid w:val="00B33D29"/>
    <w:rsid w:val="00B348AA"/>
    <w:rsid w:val="00B35486"/>
    <w:rsid w:val="00B359DB"/>
    <w:rsid w:val="00B369A5"/>
    <w:rsid w:val="00B37BC5"/>
    <w:rsid w:val="00B46AD8"/>
    <w:rsid w:val="00B47A11"/>
    <w:rsid w:val="00B54F55"/>
    <w:rsid w:val="00B553FE"/>
    <w:rsid w:val="00B55CC3"/>
    <w:rsid w:val="00B55E34"/>
    <w:rsid w:val="00B60A61"/>
    <w:rsid w:val="00B62649"/>
    <w:rsid w:val="00B62B40"/>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A7C4F"/>
    <w:rsid w:val="00BB3E00"/>
    <w:rsid w:val="00BB3EA0"/>
    <w:rsid w:val="00BB6012"/>
    <w:rsid w:val="00BB76DF"/>
    <w:rsid w:val="00BC16E2"/>
    <w:rsid w:val="00BC3BA7"/>
    <w:rsid w:val="00BC48A9"/>
    <w:rsid w:val="00BC4C93"/>
    <w:rsid w:val="00BC7E50"/>
    <w:rsid w:val="00BD1702"/>
    <w:rsid w:val="00BD31DD"/>
    <w:rsid w:val="00BD6BFA"/>
    <w:rsid w:val="00BD7E2B"/>
    <w:rsid w:val="00BE7513"/>
    <w:rsid w:val="00BE77CE"/>
    <w:rsid w:val="00BF2278"/>
    <w:rsid w:val="00BF2E63"/>
    <w:rsid w:val="00BF43CD"/>
    <w:rsid w:val="00BF4899"/>
    <w:rsid w:val="00BF4BFE"/>
    <w:rsid w:val="00BF5013"/>
    <w:rsid w:val="00C00C78"/>
    <w:rsid w:val="00C01AFA"/>
    <w:rsid w:val="00C021A8"/>
    <w:rsid w:val="00C04D04"/>
    <w:rsid w:val="00C0750E"/>
    <w:rsid w:val="00C10A56"/>
    <w:rsid w:val="00C10DEB"/>
    <w:rsid w:val="00C12D9E"/>
    <w:rsid w:val="00C14149"/>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4ED1"/>
    <w:rsid w:val="00C454E1"/>
    <w:rsid w:val="00C469D3"/>
    <w:rsid w:val="00C46BC6"/>
    <w:rsid w:val="00C50159"/>
    <w:rsid w:val="00C50186"/>
    <w:rsid w:val="00C50909"/>
    <w:rsid w:val="00C539A6"/>
    <w:rsid w:val="00C53B34"/>
    <w:rsid w:val="00C56CD4"/>
    <w:rsid w:val="00C56E15"/>
    <w:rsid w:val="00C5707E"/>
    <w:rsid w:val="00C60060"/>
    <w:rsid w:val="00C6575B"/>
    <w:rsid w:val="00C66B10"/>
    <w:rsid w:val="00C7001B"/>
    <w:rsid w:val="00C733B5"/>
    <w:rsid w:val="00C73723"/>
    <w:rsid w:val="00C740B7"/>
    <w:rsid w:val="00C7463A"/>
    <w:rsid w:val="00C80517"/>
    <w:rsid w:val="00C8154C"/>
    <w:rsid w:val="00C81AA2"/>
    <w:rsid w:val="00C82907"/>
    <w:rsid w:val="00C83FE2"/>
    <w:rsid w:val="00C878E4"/>
    <w:rsid w:val="00C91393"/>
    <w:rsid w:val="00C92DAE"/>
    <w:rsid w:val="00C93341"/>
    <w:rsid w:val="00C94E19"/>
    <w:rsid w:val="00CA075C"/>
    <w:rsid w:val="00CA3E77"/>
    <w:rsid w:val="00CA4CCE"/>
    <w:rsid w:val="00CA7395"/>
    <w:rsid w:val="00CB06E3"/>
    <w:rsid w:val="00CB36DC"/>
    <w:rsid w:val="00CB6FD4"/>
    <w:rsid w:val="00CC1ACD"/>
    <w:rsid w:val="00CC1CC7"/>
    <w:rsid w:val="00CC2BE0"/>
    <w:rsid w:val="00CC2DF9"/>
    <w:rsid w:val="00CC7A9B"/>
    <w:rsid w:val="00CD01B3"/>
    <w:rsid w:val="00CD36E6"/>
    <w:rsid w:val="00CD6315"/>
    <w:rsid w:val="00CD6A83"/>
    <w:rsid w:val="00CE4C85"/>
    <w:rsid w:val="00CE59C8"/>
    <w:rsid w:val="00CF00DD"/>
    <w:rsid w:val="00CF3733"/>
    <w:rsid w:val="00CF6B89"/>
    <w:rsid w:val="00CF7332"/>
    <w:rsid w:val="00CF739F"/>
    <w:rsid w:val="00CF7C56"/>
    <w:rsid w:val="00D0082C"/>
    <w:rsid w:val="00D00E4B"/>
    <w:rsid w:val="00D01494"/>
    <w:rsid w:val="00D04120"/>
    <w:rsid w:val="00D048D2"/>
    <w:rsid w:val="00D06DF3"/>
    <w:rsid w:val="00D07E35"/>
    <w:rsid w:val="00D1304F"/>
    <w:rsid w:val="00D1384E"/>
    <w:rsid w:val="00D15028"/>
    <w:rsid w:val="00D1562C"/>
    <w:rsid w:val="00D1725C"/>
    <w:rsid w:val="00D17E13"/>
    <w:rsid w:val="00D20E58"/>
    <w:rsid w:val="00D25E24"/>
    <w:rsid w:val="00D25E5A"/>
    <w:rsid w:val="00D26C2C"/>
    <w:rsid w:val="00D279B0"/>
    <w:rsid w:val="00D30908"/>
    <w:rsid w:val="00D31DDC"/>
    <w:rsid w:val="00D3365D"/>
    <w:rsid w:val="00D352F9"/>
    <w:rsid w:val="00D363F8"/>
    <w:rsid w:val="00D37465"/>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7C9A"/>
    <w:rsid w:val="00D6153E"/>
    <w:rsid w:val="00D6158C"/>
    <w:rsid w:val="00D61944"/>
    <w:rsid w:val="00D628B2"/>
    <w:rsid w:val="00D64437"/>
    <w:rsid w:val="00D6575A"/>
    <w:rsid w:val="00D706A8"/>
    <w:rsid w:val="00D71D7F"/>
    <w:rsid w:val="00D72776"/>
    <w:rsid w:val="00D730B2"/>
    <w:rsid w:val="00D7509B"/>
    <w:rsid w:val="00D76608"/>
    <w:rsid w:val="00D76813"/>
    <w:rsid w:val="00D7772A"/>
    <w:rsid w:val="00D77CED"/>
    <w:rsid w:val="00D77E75"/>
    <w:rsid w:val="00D82218"/>
    <w:rsid w:val="00D84488"/>
    <w:rsid w:val="00D84E43"/>
    <w:rsid w:val="00D8775F"/>
    <w:rsid w:val="00D91103"/>
    <w:rsid w:val="00DA0544"/>
    <w:rsid w:val="00DA0EC7"/>
    <w:rsid w:val="00DA3603"/>
    <w:rsid w:val="00DA4744"/>
    <w:rsid w:val="00DA4C02"/>
    <w:rsid w:val="00DA7A4C"/>
    <w:rsid w:val="00DB2BEF"/>
    <w:rsid w:val="00DB61FF"/>
    <w:rsid w:val="00DB73CF"/>
    <w:rsid w:val="00DB741F"/>
    <w:rsid w:val="00DC0A18"/>
    <w:rsid w:val="00DC0F16"/>
    <w:rsid w:val="00DC1D29"/>
    <w:rsid w:val="00DC305F"/>
    <w:rsid w:val="00DC74C2"/>
    <w:rsid w:val="00DC757C"/>
    <w:rsid w:val="00DD2EBF"/>
    <w:rsid w:val="00DD69A5"/>
    <w:rsid w:val="00DE0D13"/>
    <w:rsid w:val="00DE3BB5"/>
    <w:rsid w:val="00DE7C9A"/>
    <w:rsid w:val="00DE7CAF"/>
    <w:rsid w:val="00DF0DFE"/>
    <w:rsid w:val="00DF37E6"/>
    <w:rsid w:val="00E03253"/>
    <w:rsid w:val="00E04E6A"/>
    <w:rsid w:val="00E05A51"/>
    <w:rsid w:val="00E15EA0"/>
    <w:rsid w:val="00E1789D"/>
    <w:rsid w:val="00E2016E"/>
    <w:rsid w:val="00E20A2C"/>
    <w:rsid w:val="00E2406B"/>
    <w:rsid w:val="00E2423B"/>
    <w:rsid w:val="00E24391"/>
    <w:rsid w:val="00E32429"/>
    <w:rsid w:val="00E33F7D"/>
    <w:rsid w:val="00E355C4"/>
    <w:rsid w:val="00E358EA"/>
    <w:rsid w:val="00E372D3"/>
    <w:rsid w:val="00E4135A"/>
    <w:rsid w:val="00E444AB"/>
    <w:rsid w:val="00E45718"/>
    <w:rsid w:val="00E468FC"/>
    <w:rsid w:val="00E46DB1"/>
    <w:rsid w:val="00E53555"/>
    <w:rsid w:val="00E57069"/>
    <w:rsid w:val="00E57587"/>
    <w:rsid w:val="00E650D2"/>
    <w:rsid w:val="00E652F3"/>
    <w:rsid w:val="00E65F06"/>
    <w:rsid w:val="00E7029B"/>
    <w:rsid w:val="00E70CD8"/>
    <w:rsid w:val="00E72884"/>
    <w:rsid w:val="00E74B86"/>
    <w:rsid w:val="00E768C3"/>
    <w:rsid w:val="00E76AB2"/>
    <w:rsid w:val="00E776E5"/>
    <w:rsid w:val="00E77E77"/>
    <w:rsid w:val="00E80099"/>
    <w:rsid w:val="00E830CD"/>
    <w:rsid w:val="00E85900"/>
    <w:rsid w:val="00E86997"/>
    <w:rsid w:val="00E87EE4"/>
    <w:rsid w:val="00E90E81"/>
    <w:rsid w:val="00E91DF3"/>
    <w:rsid w:val="00E929F8"/>
    <w:rsid w:val="00E92BE7"/>
    <w:rsid w:val="00E946F1"/>
    <w:rsid w:val="00E97FBE"/>
    <w:rsid w:val="00EA03BC"/>
    <w:rsid w:val="00EA1A10"/>
    <w:rsid w:val="00EA221B"/>
    <w:rsid w:val="00EA48E7"/>
    <w:rsid w:val="00EB10EC"/>
    <w:rsid w:val="00EB153A"/>
    <w:rsid w:val="00EB44F3"/>
    <w:rsid w:val="00EB4E6E"/>
    <w:rsid w:val="00EB5009"/>
    <w:rsid w:val="00EB62B2"/>
    <w:rsid w:val="00EC117D"/>
    <w:rsid w:val="00EC3FB0"/>
    <w:rsid w:val="00ED02E1"/>
    <w:rsid w:val="00ED1E2F"/>
    <w:rsid w:val="00ED2B25"/>
    <w:rsid w:val="00ED2DFF"/>
    <w:rsid w:val="00ED3FD0"/>
    <w:rsid w:val="00ED7289"/>
    <w:rsid w:val="00EE1DAC"/>
    <w:rsid w:val="00EE4B71"/>
    <w:rsid w:val="00EE5157"/>
    <w:rsid w:val="00EE5658"/>
    <w:rsid w:val="00EE70C6"/>
    <w:rsid w:val="00EF0D9F"/>
    <w:rsid w:val="00EF13BC"/>
    <w:rsid w:val="00EF194B"/>
    <w:rsid w:val="00EF52D6"/>
    <w:rsid w:val="00EF7C4E"/>
    <w:rsid w:val="00F0250E"/>
    <w:rsid w:val="00F03EC6"/>
    <w:rsid w:val="00F06BB8"/>
    <w:rsid w:val="00F07D41"/>
    <w:rsid w:val="00F10827"/>
    <w:rsid w:val="00F14A61"/>
    <w:rsid w:val="00F15EF7"/>
    <w:rsid w:val="00F16558"/>
    <w:rsid w:val="00F16DF3"/>
    <w:rsid w:val="00F175EE"/>
    <w:rsid w:val="00F2019A"/>
    <w:rsid w:val="00F2312D"/>
    <w:rsid w:val="00F244DB"/>
    <w:rsid w:val="00F257E1"/>
    <w:rsid w:val="00F272E4"/>
    <w:rsid w:val="00F27BBA"/>
    <w:rsid w:val="00F31789"/>
    <w:rsid w:val="00F31877"/>
    <w:rsid w:val="00F33D2B"/>
    <w:rsid w:val="00F349B2"/>
    <w:rsid w:val="00F3691F"/>
    <w:rsid w:val="00F36D2F"/>
    <w:rsid w:val="00F3786F"/>
    <w:rsid w:val="00F4208D"/>
    <w:rsid w:val="00F47100"/>
    <w:rsid w:val="00F514B4"/>
    <w:rsid w:val="00F51A7F"/>
    <w:rsid w:val="00F523DE"/>
    <w:rsid w:val="00F5260A"/>
    <w:rsid w:val="00F5372F"/>
    <w:rsid w:val="00F55808"/>
    <w:rsid w:val="00F572CC"/>
    <w:rsid w:val="00F600F0"/>
    <w:rsid w:val="00F63985"/>
    <w:rsid w:val="00F651FA"/>
    <w:rsid w:val="00F65DD3"/>
    <w:rsid w:val="00F65EA6"/>
    <w:rsid w:val="00F66656"/>
    <w:rsid w:val="00F66732"/>
    <w:rsid w:val="00F7104A"/>
    <w:rsid w:val="00F711BD"/>
    <w:rsid w:val="00F7541F"/>
    <w:rsid w:val="00F754BB"/>
    <w:rsid w:val="00F763BA"/>
    <w:rsid w:val="00F77F20"/>
    <w:rsid w:val="00F802C1"/>
    <w:rsid w:val="00F8118E"/>
    <w:rsid w:val="00F84713"/>
    <w:rsid w:val="00F84DA2"/>
    <w:rsid w:val="00F931B6"/>
    <w:rsid w:val="00F93E9C"/>
    <w:rsid w:val="00F94744"/>
    <w:rsid w:val="00F96832"/>
    <w:rsid w:val="00FA05AE"/>
    <w:rsid w:val="00FA1DB6"/>
    <w:rsid w:val="00FA444A"/>
    <w:rsid w:val="00FB05CE"/>
    <w:rsid w:val="00FB363C"/>
    <w:rsid w:val="00FB7329"/>
    <w:rsid w:val="00FC0061"/>
    <w:rsid w:val="00FC049E"/>
    <w:rsid w:val="00FC0A33"/>
    <w:rsid w:val="00FC566F"/>
    <w:rsid w:val="00FC5DB5"/>
    <w:rsid w:val="00FC6918"/>
    <w:rsid w:val="00FD0066"/>
    <w:rsid w:val="00FD16B3"/>
    <w:rsid w:val="00FD2808"/>
    <w:rsid w:val="00FD47A9"/>
    <w:rsid w:val="00FD4FF8"/>
    <w:rsid w:val="00FD6AAD"/>
    <w:rsid w:val="00FD6B9E"/>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_caption"/>
    <w:basedOn w:val="Normal"/>
    <w:rsid w:val="00E57587"/>
    <w:pPr>
      <w:numPr>
        <w:numId w:val="2"/>
      </w:numPr>
      <w:spacing w:before="240" w:after="240" w:line="240" w:lineRule="auto"/>
      <w:jc w:val="center"/>
    </w:pPr>
    <w:rPr>
      <w:rFonts w:ascii="Times New Roman" w:eastAsia="Times New Roman" w:hAnsi="Times New Roman" w:cs="Times New Roman"/>
      <w:kern w:val="0"/>
      <w:sz w:val="18"/>
      <w14:ligatures w14:val="none"/>
    </w:rPr>
  </w:style>
  <w:style w:type="paragraph" w:customStyle="1" w:styleId="textbody">
    <w:name w:val="text_body"/>
    <w:basedOn w:val="Normal"/>
    <w:rsid w:val="00FD6B9E"/>
    <w:pPr>
      <w:spacing w:after="0" w:line="240" w:lineRule="auto"/>
      <w:ind w:firstLine="284"/>
      <w:jc w:val="both"/>
    </w:pPr>
    <w:rPr>
      <w:rFonts w:ascii="Times New Roman" w:eastAsia="Times New Roman" w:hAnsi="Times New Roman"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Cable, Bus Duct and Bus Pipe Capacity Sizing</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Cable, Bus Duct and Bus Pipe Capacity Sizing</dc:title>
  <dc:subject/>
  <dc:creator>Norbert Doerry</dc:creator>
  <cp:keywords/>
  <dc:description/>
  <cp:lastModifiedBy>Norbert Doerry</cp:lastModifiedBy>
  <cp:revision>15</cp:revision>
  <cp:lastPrinted>2026-03-09T12:42:00Z</cp:lastPrinted>
  <dcterms:created xsi:type="dcterms:W3CDTF">2026-05-05T20:29:00Z</dcterms:created>
  <dcterms:modified xsi:type="dcterms:W3CDTF">2026-05-24T12:03:00Z</dcterms:modified>
</cp:coreProperties>
</file>